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CF1F3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846D2" w14:paraId="479573BC" w14:textId="77777777" w:rsidTr="00B846D2">
        <w:tc>
          <w:tcPr>
            <w:tcW w:w="10214" w:type="dxa"/>
            <w:tcBorders>
              <w:top w:val="single" w:sz="4" w:space="0" w:color="124B9B"/>
              <w:left w:val="single" w:sz="4" w:space="0" w:color="124B9B"/>
              <w:bottom w:val="single" w:sz="48" w:space="0" w:color="6ABD2C"/>
              <w:right w:val="single" w:sz="4" w:space="0" w:color="124B9B"/>
            </w:tcBorders>
            <w:shd w:val="clear" w:color="auto" w:fill="124B9B"/>
          </w:tcPr>
          <w:p w14:paraId="54A135B0" w14:textId="22A8C154" w:rsidR="00D04EBE" w:rsidRPr="00D04EBE" w:rsidRDefault="00D04EBE" w:rsidP="00D04EBE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How to Start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 Infusion Process</w:t>
            </w:r>
          </w:p>
        </w:tc>
      </w:tr>
      <w:tr w:rsidR="00B846D2" w14:paraId="1E53F47B" w14:textId="77777777" w:rsidTr="00B846D2">
        <w:tc>
          <w:tcPr>
            <w:tcW w:w="102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301FD62B" w14:textId="77777777" w:rsidR="00D04EBE" w:rsidRPr="00D04EBE" w:rsidRDefault="00D04EBE" w:rsidP="00D04EBE">
            <w:pPr>
              <w:spacing w:before="120"/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</w:pPr>
            <w:r w:rsidRPr="00D04EBE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General considerations regardless of location</w:t>
            </w:r>
          </w:p>
          <w:p w14:paraId="506800D8" w14:textId="77777777" w:rsidR="00D04EBE" w:rsidRDefault="00D04EBE" w:rsidP="00C27838">
            <w:pPr>
              <w:spacing w:after="240"/>
            </w:pPr>
            <w:r>
              <w:t xml:space="preserve">Applies to 3-day </w:t>
            </w:r>
            <w:proofErr w:type="spellStart"/>
            <w:r>
              <w:t>remdesivir</w:t>
            </w:r>
            <w:proofErr w:type="spellEnd"/>
            <w:r>
              <w:t xml:space="preserve"> infusion for non-hospitalized individuals with COVID-19</w:t>
            </w:r>
          </w:p>
          <w:p w14:paraId="40F53469" w14:textId="77777777" w:rsidR="00D04EBE" w:rsidRDefault="00D04EBE" w:rsidP="00D04EBE">
            <w:pPr>
              <w:numPr>
                <w:ilvl w:val="0"/>
                <w:numId w:val="23"/>
              </w:numPr>
              <w:spacing w:line="276" w:lineRule="auto"/>
            </w:pPr>
            <w:r>
              <w:t>Required staff</w:t>
            </w:r>
          </w:p>
          <w:p w14:paraId="19E88719" w14:textId="77777777" w:rsidR="00D04EBE" w:rsidRDefault="00D04EBE" w:rsidP="00D04EBE">
            <w:pPr>
              <w:numPr>
                <w:ilvl w:val="1"/>
                <w:numId w:val="23"/>
              </w:numPr>
            </w:pPr>
            <w:r>
              <w:t xml:space="preserve">Prescribing clinicians for ordering and assessing </w:t>
            </w:r>
            <w:proofErr w:type="spellStart"/>
            <w:r>
              <w:t>remdesivir</w:t>
            </w:r>
            <w:proofErr w:type="spellEnd"/>
            <w:r>
              <w:t xml:space="preserve"> and </w:t>
            </w:r>
            <w:proofErr w:type="spellStart"/>
            <w:r>
              <w:t>adjunctives</w:t>
            </w:r>
            <w:proofErr w:type="spellEnd"/>
            <w:r>
              <w:t xml:space="preserve"> (standard orders for outpatient IV: flushes, vitals, </w:t>
            </w:r>
            <w:proofErr w:type="spellStart"/>
            <w:r>
              <w:t>etc</w:t>
            </w:r>
            <w:proofErr w:type="spellEnd"/>
            <w:r>
              <w:t xml:space="preserve">). </w:t>
            </w:r>
          </w:p>
          <w:p w14:paraId="08939397" w14:textId="77777777" w:rsidR="00D04EBE" w:rsidRDefault="00D04EBE" w:rsidP="00D04EBE">
            <w:pPr>
              <w:numPr>
                <w:ilvl w:val="1"/>
                <w:numId w:val="23"/>
              </w:numPr>
            </w:pPr>
            <w:r>
              <w:t>Patient Access services for coordination of scheduling</w:t>
            </w:r>
          </w:p>
          <w:p w14:paraId="2091C29A" w14:textId="77777777" w:rsidR="00D04EBE" w:rsidRDefault="00D04EBE" w:rsidP="00D04EBE">
            <w:pPr>
              <w:numPr>
                <w:ilvl w:val="1"/>
                <w:numId w:val="23"/>
              </w:numPr>
            </w:pPr>
            <w:r>
              <w:t xml:space="preserve">Pharmacy staff for order entry, verification, and product preparation </w:t>
            </w:r>
          </w:p>
          <w:p w14:paraId="12E35102" w14:textId="77777777" w:rsidR="00D04EBE" w:rsidRDefault="00D04EBE" w:rsidP="00D04EBE">
            <w:pPr>
              <w:numPr>
                <w:ilvl w:val="1"/>
                <w:numId w:val="23"/>
              </w:numPr>
            </w:pPr>
            <w:r>
              <w:t>Nurses for administration</w:t>
            </w:r>
          </w:p>
          <w:p w14:paraId="35A78302" w14:textId="77777777" w:rsidR="00D04EBE" w:rsidRDefault="00D04EBE" w:rsidP="00D04EBE">
            <w:pPr>
              <w:numPr>
                <w:ilvl w:val="1"/>
                <w:numId w:val="23"/>
              </w:numPr>
              <w:spacing w:after="240"/>
            </w:pPr>
            <w:r>
              <w:t>Environmental services</w:t>
            </w:r>
          </w:p>
          <w:p w14:paraId="7659AFED" w14:textId="77777777" w:rsidR="00D04EBE" w:rsidRDefault="00D04EBE" w:rsidP="00D04EBE">
            <w:pPr>
              <w:numPr>
                <w:ilvl w:val="0"/>
                <w:numId w:val="23"/>
              </w:numPr>
              <w:spacing w:line="276" w:lineRule="auto"/>
            </w:pPr>
            <w:r>
              <w:t>Process</w:t>
            </w:r>
          </w:p>
          <w:p w14:paraId="69BF0CE2" w14:textId="77777777" w:rsidR="00D04EBE" w:rsidRDefault="00D04EBE" w:rsidP="00D04EBE">
            <w:pPr>
              <w:numPr>
                <w:ilvl w:val="1"/>
                <w:numId w:val="23"/>
              </w:numPr>
            </w:pPr>
            <w:r>
              <w:t>Determine if the loading dose and maintenance doses be given in the same location</w:t>
            </w:r>
          </w:p>
          <w:p w14:paraId="615E289E" w14:textId="77777777" w:rsidR="00D04EBE" w:rsidRDefault="00D04EBE" w:rsidP="00D04EBE">
            <w:pPr>
              <w:numPr>
                <w:ilvl w:val="1"/>
                <w:numId w:val="23"/>
              </w:numPr>
            </w:pPr>
            <w:r>
              <w:t>If given off site, determine if the medication be premixed, mixed at bedside, or sent from the pharmacy</w:t>
            </w:r>
          </w:p>
          <w:p w14:paraId="74493287" w14:textId="77777777" w:rsidR="00D04EBE" w:rsidRDefault="00D04EBE" w:rsidP="00C27838">
            <w:pPr>
              <w:numPr>
                <w:ilvl w:val="2"/>
                <w:numId w:val="23"/>
              </w:numPr>
              <w:spacing w:after="240"/>
            </w:pPr>
            <w:r>
              <w:t xml:space="preserve">If sent from a pharmacy, need a plan for product transportation and storage </w:t>
            </w:r>
          </w:p>
          <w:p w14:paraId="37244BEC" w14:textId="77777777" w:rsidR="00D04EBE" w:rsidRDefault="00D04EBE" w:rsidP="00D04EBE">
            <w:pPr>
              <w:numPr>
                <w:ilvl w:val="0"/>
                <w:numId w:val="23"/>
              </w:numPr>
              <w:spacing w:line="276" w:lineRule="auto"/>
            </w:pPr>
            <w:r>
              <w:t>Administration</w:t>
            </w:r>
          </w:p>
          <w:p w14:paraId="06815F59" w14:textId="77777777" w:rsidR="00D04EBE" w:rsidRDefault="00D04EBE" w:rsidP="00C27838">
            <w:pPr>
              <w:numPr>
                <w:ilvl w:val="1"/>
                <w:numId w:val="23"/>
              </w:numPr>
            </w:pPr>
            <w:r>
              <w:t xml:space="preserve">Most patients will need a temporary peripheral IV placed for infusion administration and removed after the infusion for each dose  </w:t>
            </w:r>
          </w:p>
          <w:p w14:paraId="2C339F2B" w14:textId="77777777" w:rsidR="00D04EBE" w:rsidRDefault="00D04EBE" w:rsidP="00C27838">
            <w:pPr>
              <w:numPr>
                <w:ilvl w:val="1"/>
                <w:numId w:val="23"/>
              </w:numPr>
            </w:pPr>
            <w:r>
              <w:t xml:space="preserve">Will extra staff be hired for administration or will current staff be pulled? </w:t>
            </w:r>
          </w:p>
          <w:p w14:paraId="536DF32F" w14:textId="77777777" w:rsidR="00D04EBE" w:rsidRDefault="00D04EBE" w:rsidP="00C27838">
            <w:pPr>
              <w:numPr>
                <w:ilvl w:val="1"/>
                <w:numId w:val="23"/>
              </w:numPr>
            </w:pPr>
            <w:r>
              <w:t xml:space="preserve">Assess the space to ensure adequate room for patients to be monitored for at least one hour following the completion of each </w:t>
            </w:r>
            <w:proofErr w:type="spellStart"/>
            <w:r>
              <w:t>remdesivir</w:t>
            </w:r>
            <w:proofErr w:type="spellEnd"/>
            <w:r>
              <w:t xml:space="preserve"> </w:t>
            </w:r>
          </w:p>
          <w:p w14:paraId="3C17459D" w14:textId="77777777" w:rsidR="00D04EBE" w:rsidRDefault="00D04EBE" w:rsidP="00C27838">
            <w:pPr>
              <w:numPr>
                <w:ilvl w:val="2"/>
                <w:numId w:val="23"/>
              </w:numPr>
              <w:spacing w:after="240"/>
            </w:pPr>
            <w:r>
              <w:t>Have rescue medications and BLS/ACLS staff available for infusion reactions</w:t>
            </w:r>
          </w:p>
          <w:p w14:paraId="63D67552" w14:textId="77777777" w:rsidR="00D04EBE" w:rsidRDefault="00D04EBE" w:rsidP="00D04EBE">
            <w:pPr>
              <w:numPr>
                <w:ilvl w:val="0"/>
                <w:numId w:val="23"/>
              </w:numPr>
              <w:spacing w:line="276" w:lineRule="auto"/>
            </w:pPr>
            <w:r>
              <w:t>Screening</w:t>
            </w:r>
          </w:p>
          <w:p w14:paraId="355FAA19" w14:textId="77777777" w:rsidR="00D04EBE" w:rsidRDefault="00D04EBE" w:rsidP="00C27838">
            <w:pPr>
              <w:numPr>
                <w:ilvl w:val="1"/>
                <w:numId w:val="23"/>
              </w:numPr>
              <w:spacing w:after="240"/>
            </w:pPr>
            <w:r>
              <w:t xml:space="preserve">Standardize a plan for laboratory monitoring – collect a serum lab or reference previous lab results. If the latter, determine a window of time for acceptance </w:t>
            </w:r>
          </w:p>
          <w:p w14:paraId="320D5CB8" w14:textId="77777777" w:rsidR="00D04EBE" w:rsidRDefault="00D04EBE" w:rsidP="00D04EBE">
            <w:pPr>
              <w:numPr>
                <w:ilvl w:val="0"/>
                <w:numId w:val="23"/>
              </w:numPr>
              <w:spacing w:line="276" w:lineRule="auto"/>
            </w:pPr>
            <w:r>
              <w:t>Delays in care</w:t>
            </w:r>
          </w:p>
          <w:p w14:paraId="45AADE4D" w14:textId="77777777" w:rsidR="00D04EBE" w:rsidRDefault="00D04EBE" w:rsidP="00C27838">
            <w:pPr>
              <w:numPr>
                <w:ilvl w:val="1"/>
                <w:numId w:val="23"/>
              </w:numPr>
            </w:pPr>
            <w:r>
              <w:t xml:space="preserve">If an infusion location is unable to accommodate weekend infusions, consider new starts only on Monday, Tuesday, and Wednesday to avoid gaps in therapy </w:t>
            </w:r>
          </w:p>
          <w:p w14:paraId="471F198C" w14:textId="77777777" w:rsidR="00D04EBE" w:rsidRDefault="00D04EBE" w:rsidP="00C27838">
            <w:pPr>
              <w:numPr>
                <w:ilvl w:val="2"/>
                <w:numId w:val="23"/>
              </w:numPr>
              <w:spacing w:after="240"/>
            </w:pPr>
            <w:r>
              <w:t xml:space="preserve">May also consider referral for home infusion therapy if available on weekends to complete the remainder of the regimen </w:t>
            </w:r>
          </w:p>
          <w:p w14:paraId="0F23E714" w14:textId="77777777" w:rsidR="00D04EBE" w:rsidRDefault="00D04EBE" w:rsidP="00D04EBE">
            <w:pPr>
              <w:numPr>
                <w:ilvl w:val="0"/>
                <w:numId w:val="23"/>
              </w:numPr>
              <w:spacing w:line="276" w:lineRule="auto"/>
            </w:pPr>
            <w:r>
              <w:t>Decompensation</w:t>
            </w:r>
          </w:p>
          <w:p w14:paraId="6F64AE39" w14:textId="77777777" w:rsidR="00D04EBE" w:rsidRDefault="00D04EBE" w:rsidP="00C27838">
            <w:pPr>
              <w:numPr>
                <w:ilvl w:val="1"/>
                <w:numId w:val="23"/>
              </w:numPr>
            </w:pPr>
            <w:r>
              <w:t xml:space="preserve">If a patient does decompensate over the course of therapy, admit the patient for further management rather than continue outpatient care </w:t>
            </w:r>
          </w:p>
          <w:p w14:paraId="047CB73F" w14:textId="62E2662C" w:rsidR="00D04EBE" w:rsidRDefault="00D04EBE" w:rsidP="00D04EBE"/>
          <w:p w14:paraId="22769F98" w14:textId="3BD55C7E" w:rsidR="00C27838" w:rsidRDefault="00C27838" w:rsidP="00D04EBE"/>
          <w:p w14:paraId="034A1230" w14:textId="77777777" w:rsidR="00C27838" w:rsidRDefault="00C27838" w:rsidP="00D04EBE"/>
          <w:p w14:paraId="3F8EAD26" w14:textId="77777777" w:rsidR="00D04EBE" w:rsidRPr="00D04EBE" w:rsidRDefault="00D04EBE" w:rsidP="00D04EBE">
            <w:pPr>
              <w:spacing w:before="120"/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</w:pPr>
            <w:r w:rsidRPr="00D04EBE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lastRenderedPageBreak/>
              <w:t>ED considerations</w:t>
            </w:r>
          </w:p>
          <w:p w14:paraId="5F956CA9" w14:textId="77777777" w:rsidR="00D04EBE" w:rsidRDefault="00D04EBE" w:rsidP="00C27838">
            <w:pPr>
              <w:numPr>
                <w:ilvl w:val="0"/>
                <w:numId w:val="26"/>
              </w:numPr>
            </w:pPr>
            <w:r>
              <w:t xml:space="preserve">Determine a process for walk-in patients (scheduling, </w:t>
            </w:r>
            <w:proofErr w:type="spellStart"/>
            <w:r>
              <w:t>etc</w:t>
            </w:r>
            <w:proofErr w:type="spellEnd"/>
            <w:r>
              <w:t xml:space="preserve">).  </w:t>
            </w:r>
          </w:p>
          <w:p w14:paraId="027671C8" w14:textId="77777777" w:rsidR="00D04EBE" w:rsidRDefault="00D04EBE" w:rsidP="00C27838">
            <w:pPr>
              <w:numPr>
                <w:ilvl w:val="0"/>
                <w:numId w:val="26"/>
              </w:numPr>
            </w:pPr>
            <w:r>
              <w:t xml:space="preserve">Determine if subsequent doses will be administered at the ED or at a different location </w:t>
            </w:r>
          </w:p>
          <w:p w14:paraId="14F7A5BB" w14:textId="77777777" w:rsidR="00D04EBE" w:rsidRDefault="00D04EBE" w:rsidP="00C27838">
            <w:pPr>
              <w:numPr>
                <w:ilvl w:val="0"/>
                <w:numId w:val="26"/>
              </w:numPr>
            </w:pPr>
            <w:r>
              <w:t xml:space="preserve">Scheduling staff and/or automation needed to set up follow up visits (day 2, 3) </w:t>
            </w:r>
          </w:p>
          <w:p w14:paraId="7B9DA085" w14:textId="77777777" w:rsidR="00D04EBE" w:rsidRDefault="00D04EBE" w:rsidP="00C27838">
            <w:pPr>
              <w:numPr>
                <w:ilvl w:val="0"/>
                <w:numId w:val="26"/>
              </w:numPr>
            </w:pPr>
            <w:r>
              <w:t xml:space="preserve">The infusion area may be separate from the ED regular workflow for physical space and staff </w:t>
            </w:r>
          </w:p>
          <w:p w14:paraId="59091930" w14:textId="7488A842" w:rsidR="00D04EBE" w:rsidRDefault="00D04EBE" w:rsidP="00C27838">
            <w:pPr>
              <w:numPr>
                <w:ilvl w:val="0"/>
                <w:numId w:val="26"/>
              </w:numPr>
              <w:spacing w:after="240"/>
            </w:pPr>
            <w:r>
              <w:t>Return visits to the ED may be billed differently than the initial visit (ED visit, infusion visit, etc.)</w:t>
            </w:r>
          </w:p>
          <w:p w14:paraId="4D1838DA" w14:textId="5D815959" w:rsidR="00D04EBE" w:rsidRPr="00D04EBE" w:rsidRDefault="00D04EBE" w:rsidP="00D04EBE">
            <w:pPr>
              <w:spacing w:before="120"/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</w:pPr>
            <w:r w:rsidRPr="00D04EBE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Integrated i</w:t>
            </w:r>
            <w:r w:rsidR="00065E1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nfusion center/Hospital-bedded o</w:t>
            </w:r>
            <w:bookmarkStart w:id="0" w:name="_GoBack"/>
            <w:bookmarkEnd w:id="0"/>
            <w:r w:rsidRPr="00D04EBE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 xml:space="preserve">utpatients </w:t>
            </w:r>
          </w:p>
          <w:p w14:paraId="3549EB0C" w14:textId="77777777" w:rsidR="00D04EBE" w:rsidRDefault="00D04EBE" w:rsidP="00C27838">
            <w:pPr>
              <w:numPr>
                <w:ilvl w:val="0"/>
                <w:numId w:val="25"/>
              </w:numPr>
            </w:pPr>
            <w:r>
              <w:t xml:space="preserve">Physical separation between immunocompromised patients and COVID-19 positive patients  including separate nursing staff is strongly recommended </w:t>
            </w:r>
          </w:p>
          <w:p w14:paraId="5929177E" w14:textId="33BE93D8" w:rsidR="00D04EBE" w:rsidRDefault="00D04EBE" w:rsidP="00C27838">
            <w:pPr>
              <w:numPr>
                <w:ilvl w:val="0"/>
                <w:numId w:val="25"/>
              </w:numPr>
              <w:spacing w:after="240"/>
            </w:pPr>
            <w:r>
              <w:t xml:space="preserve">Determine which patients will be referred and who would place the referrals (centralized team verses individual practices) </w:t>
            </w:r>
          </w:p>
          <w:p w14:paraId="18772AB2" w14:textId="77777777" w:rsidR="00D04EBE" w:rsidRPr="00D04EBE" w:rsidRDefault="00D04EBE" w:rsidP="00D04EBE">
            <w:pPr>
              <w:spacing w:before="120"/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</w:pPr>
            <w:r w:rsidRPr="00D04EBE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Freestanding infusion center</w:t>
            </w:r>
          </w:p>
          <w:p w14:paraId="2EADB40D" w14:textId="77777777" w:rsidR="00D04EBE" w:rsidRDefault="00D04EBE" w:rsidP="00C27838">
            <w:pPr>
              <w:numPr>
                <w:ilvl w:val="0"/>
                <w:numId w:val="27"/>
              </w:numPr>
            </w:pPr>
            <w:r>
              <w:t xml:space="preserve">When there is an onsite pharmacy to compound </w:t>
            </w:r>
            <w:proofErr w:type="spellStart"/>
            <w:r>
              <w:t>remdesivir</w:t>
            </w:r>
            <w:proofErr w:type="spellEnd"/>
            <w:r>
              <w:t xml:space="preserve"> determine if pharmacy service hours need adjustment and/or staffing based on COVID-19 patient volumes</w:t>
            </w:r>
          </w:p>
          <w:p w14:paraId="58E111D7" w14:textId="77777777" w:rsidR="00D04EBE" w:rsidRDefault="00D04EBE" w:rsidP="00C27838">
            <w:pPr>
              <w:numPr>
                <w:ilvl w:val="1"/>
                <w:numId w:val="27"/>
              </w:numPr>
              <w:spacing w:after="240"/>
            </w:pPr>
            <w:r>
              <w:t xml:space="preserve">If not, determine a preferred method for storage/compounding/delivery </w:t>
            </w:r>
          </w:p>
          <w:p w14:paraId="4E2866C4" w14:textId="313A8ADB" w:rsidR="00D04EBE" w:rsidRDefault="00D04EBE" w:rsidP="00C27838">
            <w:pPr>
              <w:spacing w:after="240"/>
            </w:pPr>
            <w:r>
              <w:t xml:space="preserve">Determine which patients will be referred and who would place the referrals (centralized team versus individual practices) </w:t>
            </w:r>
          </w:p>
          <w:p w14:paraId="7EFB3B46" w14:textId="77777777" w:rsidR="00D04EBE" w:rsidRPr="00D04EBE" w:rsidRDefault="00D04EBE" w:rsidP="00D04EBE">
            <w:pPr>
              <w:spacing w:before="120"/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</w:pPr>
            <w:r w:rsidRPr="00D04EBE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 xml:space="preserve">Home health </w:t>
            </w:r>
          </w:p>
          <w:p w14:paraId="071DF6FA" w14:textId="77777777" w:rsidR="00D04EBE" w:rsidRDefault="00D04EBE" w:rsidP="00C27838">
            <w:pPr>
              <w:numPr>
                <w:ilvl w:val="0"/>
                <w:numId w:val="24"/>
              </w:numPr>
            </w:pPr>
            <w:r>
              <w:t xml:space="preserve">Instruct home health that patient is required to be monitored for at least one hour following the administration of </w:t>
            </w:r>
            <w:proofErr w:type="spellStart"/>
            <w:r>
              <w:t>remdesivir</w:t>
            </w:r>
            <w:proofErr w:type="spellEnd"/>
            <w:r>
              <w:t xml:space="preserve"> </w:t>
            </w:r>
          </w:p>
          <w:p w14:paraId="239882C1" w14:textId="77777777" w:rsidR="00D04EBE" w:rsidRDefault="00D04EBE" w:rsidP="00C27838">
            <w:pPr>
              <w:numPr>
                <w:ilvl w:val="0"/>
                <w:numId w:val="24"/>
              </w:numPr>
            </w:pPr>
            <w:r>
              <w:t xml:space="preserve">Ensure that </w:t>
            </w:r>
            <w:proofErr w:type="spellStart"/>
            <w:r>
              <w:t>remdesivir</w:t>
            </w:r>
            <w:proofErr w:type="spellEnd"/>
            <w:r>
              <w:t xml:space="preserve"> is administered on 3 consecutive days</w:t>
            </w:r>
          </w:p>
          <w:p w14:paraId="57C29C49" w14:textId="52B98E4D" w:rsidR="00D04EBE" w:rsidRPr="00C27838" w:rsidRDefault="00D04EBE" w:rsidP="00C27838">
            <w:pPr>
              <w:numPr>
                <w:ilvl w:val="0"/>
                <w:numId w:val="24"/>
              </w:numPr>
              <w:spacing w:after="240"/>
            </w:pPr>
            <w:r>
              <w:t xml:space="preserve">Where is the product coming from? How is it disposed of? How do patients enter this? Any precautions for staff entering the home of COVID+ person? </w:t>
            </w:r>
          </w:p>
          <w:p w14:paraId="5FF28C3C" w14:textId="70E4E1EF" w:rsidR="00D04EBE" w:rsidRPr="00D04EBE" w:rsidRDefault="00D04EBE" w:rsidP="00D04EBE">
            <w:pPr>
              <w:spacing w:before="120"/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</w:pPr>
            <w:r w:rsidRPr="00D04EBE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3</w:t>
            </w:r>
            <w:r w:rsidR="00065E1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 xml:space="preserve">-day outpatient </w:t>
            </w:r>
            <w:proofErr w:type="spellStart"/>
            <w:r w:rsidR="00065E1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r</w:t>
            </w:r>
            <w:r w:rsidRPr="00D04EBE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emdes</w:t>
            </w:r>
            <w:r w:rsidR="00065E1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ivir</w:t>
            </w:r>
            <w:proofErr w:type="spellEnd"/>
            <w:r w:rsidR="00065E1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 xml:space="preserve"> c</w:t>
            </w:r>
            <w:r w:rsidRPr="00D04EBE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>hecklist</w:t>
            </w:r>
          </w:p>
          <w:p w14:paraId="76FAD354" w14:textId="77777777" w:rsidR="00D04EBE" w:rsidRDefault="00D04EBE" w:rsidP="00C27838">
            <w:pPr>
              <w:numPr>
                <w:ilvl w:val="0"/>
                <w:numId w:val="28"/>
              </w:numPr>
              <w:spacing w:line="276" w:lineRule="auto"/>
            </w:pPr>
            <w:r>
              <w:t>Infection prevention protocol</w:t>
            </w:r>
          </w:p>
          <w:p w14:paraId="0F8A2F2F" w14:textId="77777777" w:rsidR="00D04EBE" w:rsidRDefault="00D04EBE" w:rsidP="00C27838">
            <w:pPr>
              <w:numPr>
                <w:ilvl w:val="0"/>
                <w:numId w:val="28"/>
              </w:numPr>
              <w:spacing w:line="276" w:lineRule="auto"/>
            </w:pPr>
            <w:r>
              <w:t>Scheduling process</w:t>
            </w:r>
          </w:p>
          <w:p w14:paraId="4340E6AE" w14:textId="77777777" w:rsidR="00D04EBE" w:rsidRDefault="00D04EBE" w:rsidP="00C27838">
            <w:pPr>
              <w:numPr>
                <w:ilvl w:val="0"/>
                <w:numId w:val="28"/>
              </w:numPr>
              <w:spacing w:line="276" w:lineRule="auto"/>
            </w:pPr>
            <w:r>
              <w:t>Billing information and process</w:t>
            </w:r>
          </w:p>
          <w:p w14:paraId="2BDE7B6D" w14:textId="77777777" w:rsidR="00D04EBE" w:rsidRDefault="00D04EBE" w:rsidP="00C27838">
            <w:pPr>
              <w:numPr>
                <w:ilvl w:val="0"/>
                <w:numId w:val="28"/>
              </w:numPr>
              <w:spacing w:line="276" w:lineRule="auto"/>
            </w:pPr>
            <w:r>
              <w:t>Patient check-in process</w:t>
            </w:r>
          </w:p>
          <w:p w14:paraId="1131D2C0" w14:textId="77777777" w:rsidR="00D04EBE" w:rsidRDefault="00D04EBE" w:rsidP="00C27838">
            <w:pPr>
              <w:numPr>
                <w:ilvl w:val="0"/>
                <w:numId w:val="28"/>
              </w:numPr>
              <w:spacing w:line="276" w:lineRule="auto"/>
            </w:pPr>
            <w:r>
              <w:t>Patient education/instructions</w:t>
            </w:r>
          </w:p>
          <w:p w14:paraId="3F6ED489" w14:textId="77777777" w:rsidR="00D04EBE" w:rsidRDefault="00D04EBE" w:rsidP="00C27838">
            <w:pPr>
              <w:numPr>
                <w:ilvl w:val="0"/>
                <w:numId w:val="28"/>
              </w:numPr>
              <w:spacing w:line="276" w:lineRule="auto"/>
            </w:pPr>
            <w:r>
              <w:t>Nursing education (including when to refer patient for admission)</w:t>
            </w:r>
          </w:p>
          <w:p w14:paraId="19DC5BDF" w14:textId="77777777" w:rsidR="00D04EBE" w:rsidRDefault="00D04EBE" w:rsidP="00C27838">
            <w:pPr>
              <w:numPr>
                <w:ilvl w:val="0"/>
                <w:numId w:val="28"/>
              </w:numPr>
              <w:spacing w:line="276" w:lineRule="auto"/>
            </w:pPr>
            <w:r>
              <w:t>Provider education</w:t>
            </w:r>
          </w:p>
          <w:p w14:paraId="7DE6E7B5" w14:textId="3678C8F4" w:rsidR="004F3E23" w:rsidRDefault="00D04EBE" w:rsidP="00C27838">
            <w:pPr>
              <w:numPr>
                <w:ilvl w:val="0"/>
                <w:numId w:val="28"/>
              </w:numPr>
              <w:spacing w:line="276" w:lineRule="auto"/>
            </w:pPr>
            <w:r>
              <w:t xml:space="preserve">Lab monitoring (baseline </w:t>
            </w:r>
            <w:proofErr w:type="spellStart"/>
            <w:r>
              <w:t>SCr</w:t>
            </w:r>
            <w:proofErr w:type="spellEnd"/>
            <w:r>
              <w:t xml:space="preserve"> &amp; LFTs, repeat labs)</w:t>
            </w:r>
          </w:p>
        </w:tc>
      </w:tr>
      <w:tr w:rsidR="004F3E23" w14:paraId="3BDFB542" w14:textId="77777777" w:rsidTr="00B846D2">
        <w:tc>
          <w:tcPr>
            <w:tcW w:w="102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355FD9E4" w14:textId="77777777" w:rsidR="004F3E23" w:rsidRDefault="004F3E23" w:rsidP="004F3E23"/>
          <w:p w14:paraId="08AB0266" w14:textId="77777777" w:rsidR="00D04EBE" w:rsidRDefault="00D04EBE" w:rsidP="004F3E23"/>
          <w:p w14:paraId="41502D1E" w14:textId="5BEC6AD9" w:rsidR="00D04EBE" w:rsidRDefault="00D04EBE" w:rsidP="004F3E23"/>
        </w:tc>
      </w:tr>
    </w:tbl>
    <w:p w14:paraId="6DDF4B77" w14:textId="03BE872F" w:rsidR="00E30224" w:rsidRPr="00D04EBE" w:rsidRDefault="00E30224" w:rsidP="00D04EBE">
      <w:pPr>
        <w:autoSpaceDE w:val="0"/>
        <w:autoSpaceDN w:val="0"/>
        <w:adjustRightInd w:val="0"/>
        <w:rPr>
          <w:rFonts w:cstheme="minorHAnsi"/>
          <w:b/>
        </w:rPr>
      </w:pPr>
    </w:p>
    <w:sectPr w:rsidR="00E30224" w:rsidRPr="00D04EBE" w:rsidSect="00AD28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F870" w14:textId="77777777" w:rsidR="003D04C8" w:rsidRDefault="003D04C8" w:rsidP="00331246">
      <w:r>
        <w:separator/>
      </w:r>
    </w:p>
  </w:endnote>
  <w:endnote w:type="continuationSeparator" w:id="0">
    <w:p w14:paraId="55F2D59B" w14:textId="77777777" w:rsidR="003D04C8" w:rsidRDefault="003D04C8" w:rsidP="003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4738" w14:textId="59589EE6" w:rsidR="00331246" w:rsidRDefault="00331246">
    <w:pPr>
      <w:pStyle w:val="Footer"/>
    </w:pPr>
    <w:r>
      <w:t xml:space="preserve">Updated </w:t>
    </w:r>
    <w:r w:rsidR="006651DB">
      <w:t>March 1</w:t>
    </w:r>
    <w:r w:rsidR="005320D5">
      <w:t>, 202</w:t>
    </w:r>
    <w:r w:rsidR="00405AB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5772" w14:textId="77777777" w:rsidR="003D04C8" w:rsidRDefault="003D04C8" w:rsidP="00331246">
      <w:r>
        <w:separator/>
      </w:r>
    </w:p>
  </w:footnote>
  <w:footnote w:type="continuationSeparator" w:id="0">
    <w:p w14:paraId="3E1D6EE7" w14:textId="77777777" w:rsidR="003D04C8" w:rsidRDefault="003D04C8" w:rsidP="0033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3DDC" w14:textId="77777777" w:rsidR="004F3E23" w:rsidRDefault="004F3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BB49" w14:textId="3A62C2F3" w:rsidR="00B846D2" w:rsidRDefault="00B846D2">
    <w:pPr>
      <w:pStyle w:val="Header"/>
    </w:pPr>
    <w:r>
      <w:rPr>
        <w:noProof/>
        <w:lang w:bidi="ar-SA"/>
      </w:rPr>
      <w:drawing>
        <wp:inline distT="0" distB="0" distL="0" distR="0" wp14:anchorId="35AE3D4A" wp14:editId="1A96AE21">
          <wp:extent cx="2343824" cy="485775"/>
          <wp:effectExtent l="0" t="0" r="0" b="0"/>
          <wp:docPr id="2" name="Picture 2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614" cy="48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DA516" w14:textId="77777777" w:rsidR="00322293" w:rsidRDefault="00322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E884" w14:textId="77777777" w:rsidR="004F3E23" w:rsidRDefault="004F3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C15"/>
    <w:multiLevelType w:val="hybridMultilevel"/>
    <w:tmpl w:val="83A0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B00"/>
    <w:multiLevelType w:val="hybridMultilevel"/>
    <w:tmpl w:val="CE0C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590"/>
    <w:multiLevelType w:val="hybridMultilevel"/>
    <w:tmpl w:val="1BDAC07E"/>
    <w:lvl w:ilvl="0" w:tplc="E72E6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E7A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2502"/>
    <w:multiLevelType w:val="multilevel"/>
    <w:tmpl w:val="6F98B41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A41BA8"/>
    <w:multiLevelType w:val="hybridMultilevel"/>
    <w:tmpl w:val="FAF0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A5D"/>
    <w:multiLevelType w:val="hybridMultilevel"/>
    <w:tmpl w:val="EE7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078E"/>
    <w:multiLevelType w:val="hybridMultilevel"/>
    <w:tmpl w:val="C9C2A478"/>
    <w:lvl w:ilvl="0" w:tplc="EC82F19E">
      <w:start w:val="1"/>
      <w:numFmt w:val="decimal"/>
      <w:lvlText w:val="%1."/>
      <w:lvlJc w:val="left"/>
      <w:pPr>
        <w:ind w:left="-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249518B8"/>
    <w:multiLevelType w:val="multilevel"/>
    <w:tmpl w:val="DD267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982D25"/>
    <w:multiLevelType w:val="multilevel"/>
    <w:tmpl w:val="30E64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1C3720"/>
    <w:multiLevelType w:val="multilevel"/>
    <w:tmpl w:val="23049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BB7576"/>
    <w:multiLevelType w:val="hybridMultilevel"/>
    <w:tmpl w:val="ECC4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9468B"/>
    <w:multiLevelType w:val="hybridMultilevel"/>
    <w:tmpl w:val="ECD6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1D3F"/>
    <w:multiLevelType w:val="hybridMultilevel"/>
    <w:tmpl w:val="5D42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487D"/>
    <w:multiLevelType w:val="hybridMultilevel"/>
    <w:tmpl w:val="56F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42C1"/>
    <w:multiLevelType w:val="hybridMultilevel"/>
    <w:tmpl w:val="624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22B0"/>
    <w:multiLevelType w:val="multilevel"/>
    <w:tmpl w:val="FF621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5D67B0"/>
    <w:multiLevelType w:val="multilevel"/>
    <w:tmpl w:val="1FA20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827F57"/>
    <w:multiLevelType w:val="multilevel"/>
    <w:tmpl w:val="09DA5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B97280"/>
    <w:multiLevelType w:val="hybridMultilevel"/>
    <w:tmpl w:val="DEBA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ACD"/>
    <w:multiLevelType w:val="hybridMultilevel"/>
    <w:tmpl w:val="FC8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70B09"/>
    <w:multiLevelType w:val="hybridMultilevel"/>
    <w:tmpl w:val="2774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525B2"/>
    <w:multiLevelType w:val="multilevel"/>
    <w:tmpl w:val="9AE0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1837E3"/>
    <w:multiLevelType w:val="hybridMultilevel"/>
    <w:tmpl w:val="760C4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00269C"/>
    <w:multiLevelType w:val="hybridMultilevel"/>
    <w:tmpl w:val="DAD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298"/>
    <w:multiLevelType w:val="hybridMultilevel"/>
    <w:tmpl w:val="75163296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71645B2F"/>
    <w:multiLevelType w:val="hybridMultilevel"/>
    <w:tmpl w:val="E91EBD54"/>
    <w:lvl w:ilvl="0" w:tplc="105C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D14FC"/>
    <w:multiLevelType w:val="hybridMultilevel"/>
    <w:tmpl w:val="8BA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00B93"/>
    <w:multiLevelType w:val="hybridMultilevel"/>
    <w:tmpl w:val="8A86B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18"/>
  </w:num>
  <w:num w:numId="5">
    <w:abstractNumId w:val="5"/>
  </w:num>
  <w:num w:numId="6">
    <w:abstractNumId w:val="13"/>
  </w:num>
  <w:num w:numId="7">
    <w:abstractNumId w:val="22"/>
  </w:num>
  <w:num w:numId="8">
    <w:abstractNumId w:val="10"/>
  </w:num>
  <w:num w:numId="9">
    <w:abstractNumId w:val="11"/>
  </w:num>
  <w:num w:numId="10">
    <w:abstractNumId w:val="19"/>
  </w:num>
  <w:num w:numId="11">
    <w:abstractNumId w:val="1"/>
  </w:num>
  <w:num w:numId="12">
    <w:abstractNumId w:val="0"/>
  </w:num>
  <w:num w:numId="13">
    <w:abstractNumId w:val="2"/>
  </w:num>
  <w:num w:numId="14">
    <w:abstractNumId w:val="25"/>
  </w:num>
  <w:num w:numId="15">
    <w:abstractNumId w:val="23"/>
  </w:num>
  <w:num w:numId="16">
    <w:abstractNumId w:val="12"/>
  </w:num>
  <w:num w:numId="17">
    <w:abstractNumId w:val="20"/>
  </w:num>
  <w:num w:numId="18">
    <w:abstractNumId w:val="21"/>
  </w:num>
  <w:num w:numId="19">
    <w:abstractNumId w:val="4"/>
  </w:num>
  <w:num w:numId="20">
    <w:abstractNumId w:val="26"/>
  </w:num>
  <w:num w:numId="21">
    <w:abstractNumId w:val="27"/>
  </w:num>
  <w:num w:numId="22">
    <w:abstractNumId w:val="16"/>
  </w:num>
  <w:num w:numId="23">
    <w:abstractNumId w:val="8"/>
  </w:num>
  <w:num w:numId="24">
    <w:abstractNumId w:val="17"/>
  </w:num>
  <w:num w:numId="25">
    <w:abstractNumId w:val="15"/>
  </w:num>
  <w:num w:numId="26">
    <w:abstractNumId w:val="7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4"/>
    <w:rsid w:val="00065E12"/>
    <w:rsid w:val="00071ADF"/>
    <w:rsid w:val="000E134A"/>
    <w:rsid w:val="001149F5"/>
    <w:rsid w:val="00144F63"/>
    <w:rsid w:val="001D114B"/>
    <w:rsid w:val="001F3FCF"/>
    <w:rsid w:val="00241AE5"/>
    <w:rsid w:val="002E2E78"/>
    <w:rsid w:val="00307E32"/>
    <w:rsid w:val="00322293"/>
    <w:rsid w:val="00331246"/>
    <w:rsid w:val="00357F8D"/>
    <w:rsid w:val="003B2408"/>
    <w:rsid w:val="003D04C8"/>
    <w:rsid w:val="00405ABF"/>
    <w:rsid w:val="004F3E23"/>
    <w:rsid w:val="005320D5"/>
    <w:rsid w:val="005F1F60"/>
    <w:rsid w:val="005F66E6"/>
    <w:rsid w:val="006116D9"/>
    <w:rsid w:val="006651DB"/>
    <w:rsid w:val="006E7D2C"/>
    <w:rsid w:val="006F29C9"/>
    <w:rsid w:val="00717F73"/>
    <w:rsid w:val="00727F25"/>
    <w:rsid w:val="00765217"/>
    <w:rsid w:val="007B0D03"/>
    <w:rsid w:val="008463B6"/>
    <w:rsid w:val="0086058C"/>
    <w:rsid w:val="0087480A"/>
    <w:rsid w:val="00A97781"/>
    <w:rsid w:val="00AD2853"/>
    <w:rsid w:val="00B13207"/>
    <w:rsid w:val="00B17CF5"/>
    <w:rsid w:val="00B67BA2"/>
    <w:rsid w:val="00B846D2"/>
    <w:rsid w:val="00B86A5F"/>
    <w:rsid w:val="00BA2C9A"/>
    <w:rsid w:val="00BC7FC7"/>
    <w:rsid w:val="00BF0DA8"/>
    <w:rsid w:val="00BF72ED"/>
    <w:rsid w:val="00C27838"/>
    <w:rsid w:val="00C353A1"/>
    <w:rsid w:val="00C670BB"/>
    <w:rsid w:val="00CC06E7"/>
    <w:rsid w:val="00CC5456"/>
    <w:rsid w:val="00D04EBE"/>
    <w:rsid w:val="00E218D8"/>
    <w:rsid w:val="00E30224"/>
    <w:rsid w:val="00E64B53"/>
    <w:rsid w:val="00F7150A"/>
    <w:rsid w:val="00FA07F7"/>
    <w:rsid w:val="00FA1D64"/>
    <w:rsid w:val="00FA527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03A87"/>
  <w15:chartTrackingRefBased/>
  <w15:docId w15:val="{8510D934-5C00-4260-A7B5-C345D6A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table" w:styleId="TableGrid">
    <w:name w:val="Table Grid"/>
    <w:basedOn w:val="TableNormal"/>
    <w:uiPriority w:val="59"/>
    <w:rsid w:val="00E3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224"/>
    <w:rPr>
      <w:color w:val="0000FF" w:themeColor="hyperlink"/>
      <w:u w:val="single"/>
    </w:rPr>
  </w:style>
  <w:style w:type="paragraph" w:customStyle="1" w:styleId="Bodycopy">
    <w:name w:val="Body copy"/>
    <w:basedOn w:val="Normal"/>
    <w:qFormat/>
    <w:rsid w:val="00E30224"/>
    <w:rPr>
      <w:rFonts w:ascii="Arial" w:eastAsia="Times New Roman" w:hAnsi="Arial" w:cs="Arial"/>
      <w:color w:val="000000"/>
      <w:sz w:val="22"/>
      <w:lang w:bidi="ar-SA"/>
    </w:rPr>
  </w:style>
  <w:style w:type="paragraph" w:customStyle="1" w:styleId="Default">
    <w:name w:val="Default"/>
    <w:rsid w:val="00E30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3022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copre1">
    <w:name w:val="acopre1"/>
    <w:basedOn w:val="DefaultParagraphFont"/>
    <w:rsid w:val="00E30224"/>
  </w:style>
  <w:style w:type="paragraph" w:styleId="BodyText">
    <w:name w:val="Body Text"/>
    <w:basedOn w:val="Normal"/>
    <w:link w:val="BodyTextChar"/>
    <w:uiPriority w:val="1"/>
    <w:qFormat/>
    <w:rsid w:val="00E30224"/>
    <w:pPr>
      <w:widowControl w:val="0"/>
      <w:autoSpaceDE w:val="0"/>
      <w:autoSpaceDN w:val="0"/>
      <w:adjustRightInd w:val="0"/>
      <w:ind w:left="832" w:hanging="360"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30224"/>
    <w:rPr>
      <w:rFonts w:ascii="Calibri" w:eastAsia="Times New Roman" w:hAnsi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3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F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4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&amp; Clinics of MN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Koutsari</dc:creator>
  <cp:keywords/>
  <dc:description/>
  <cp:lastModifiedBy>Nguyen, Cynthia [UCH]</cp:lastModifiedBy>
  <cp:revision>5</cp:revision>
  <dcterms:created xsi:type="dcterms:W3CDTF">2023-03-07T18:49:00Z</dcterms:created>
  <dcterms:modified xsi:type="dcterms:W3CDTF">2023-03-25T17:16:00Z</dcterms:modified>
</cp:coreProperties>
</file>