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238D" w14:textId="644AAEA5" w:rsidR="005F3EFC" w:rsidRDefault="005F3EFC">
      <w:pPr>
        <w:rPr>
          <w:rFonts w:asciiTheme="majorHAnsi" w:hAnsiTheme="majorHAnsi" w:cstheme="majorHAnsi"/>
        </w:rPr>
      </w:pPr>
      <w:r>
        <w:rPr>
          <w:noProof/>
          <w:lang w:val="en-US"/>
        </w:rPr>
        <w:drawing>
          <wp:inline distT="0" distB="0" distL="0" distR="0" wp14:anchorId="5061AE15" wp14:editId="7E3221E1">
            <wp:extent cx="5943600" cy="1231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231900"/>
                    </a:xfrm>
                    <a:prstGeom prst="rect">
                      <a:avLst/>
                    </a:prstGeom>
                    <a:noFill/>
                    <a:ln>
                      <a:noFill/>
                    </a:ln>
                  </pic:spPr>
                </pic:pic>
              </a:graphicData>
            </a:graphic>
          </wp:inline>
        </w:drawing>
      </w:r>
    </w:p>
    <w:p w14:paraId="201ADE2A" w14:textId="77777777" w:rsidR="005F3EFC" w:rsidRDefault="005F3EFC">
      <w:pPr>
        <w:rPr>
          <w:rFonts w:asciiTheme="majorHAnsi" w:hAnsiTheme="majorHAnsi" w:cstheme="majorHAnsi"/>
        </w:rPr>
      </w:pPr>
    </w:p>
    <w:p w14:paraId="6F51ABC5" w14:textId="4C10B068" w:rsidR="005F3EFC" w:rsidRPr="005F3EFC" w:rsidRDefault="00681130" w:rsidP="005F3EFC">
      <w:pPr>
        <w:jc w:val="center"/>
        <w:rPr>
          <w:rFonts w:asciiTheme="majorHAnsi" w:hAnsiTheme="majorHAnsi" w:cstheme="majorHAnsi"/>
          <w:b/>
          <w:bCs/>
          <w:color w:val="1F497D" w:themeColor="text2"/>
          <w:sz w:val="40"/>
          <w:szCs w:val="40"/>
        </w:rPr>
      </w:pPr>
      <w:r w:rsidRPr="005F3EFC">
        <w:rPr>
          <w:rFonts w:asciiTheme="majorHAnsi" w:hAnsiTheme="majorHAnsi" w:cstheme="majorHAnsi"/>
          <w:b/>
          <w:bCs/>
          <w:color w:val="1F497D" w:themeColor="text2"/>
          <w:sz w:val="40"/>
          <w:szCs w:val="40"/>
        </w:rPr>
        <w:t xml:space="preserve">Vancomycin </w:t>
      </w:r>
      <w:r w:rsidR="00807E01">
        <w:rPr>
          <w:rFonts w:asciiTheme="majorHAnsi" w:hAnsiTheme="majorHAnsi" w:cstheme="majorHAnsi"/>
          <w:b/>
          <w:bCs/>
          <w:color w:val="1F497D" w:themeColor="text2"/>
          <w:sz w:val="40"/>
          <w:szCs w:val="40"/>
        </w:rPr>
        <w:t xml:space="preserve">Area Under the Curve (AUC) </w:t>
      </w:r>
      <w:r w:rsidR="005F3EFC" w:rsidRPr="005F3EFC">
        <w:rPr>
          <w:rFonts w:asciiTheme="majorHAnsi" w:hAnsiTheme="majorHAnsi" w:cstheme="majorHAnsi"/>
          <w:b/>
          <w:bCs/>
          <w:color w:val="1F497D" w:themeColor="text2"/>
          <w:sz w:val="40"/>
          <w:szCs w:val="40"/>
        </w:rPr>
        <w:t xml:space="preserve">Dosing </w:t>
      </w:r>
      <w:r w:rsidRPr="005F3EFC">
        <w:rPr>
          <w:rFonts w:asciiTheme="majorHAnsi" w:hAnsiTheme="majorHAnsi" w:cstheme="majorHAnsi"/>
          <w:b/>
          <w:bCs/>
          <w:color w:val="1F497D" w:themeColor="text2"/>
          <w:sz w:val="40"/>
          <w:szCs w:val="40"/>
        </w:rPr>
        <w:t>Guideline</w:t>
      </w:r>
    </w:p>
    <w:p w14:paraId="7A99C143" w14:textId="374C5EA6" w:rsidR="002A324C" w:rsidRPr="005F3EFC" w:rsidRDefault="00681130" w:rsidP="005F3EFC">
      <w:pPr>
        <w:jc w:val="center"/>
        <w:rPr>
          <w:rFonts w:asciiTheme="majorHAnsi" w:hAnsiTheme="majorHAnsi" w:cstheme="majorHAnsi"/>
          <w:b/>
          <w:bCs/>
          <w:color w:val="1F497D" w:themeColor="text2"/>
          <w:sz w:val="40"/>
          <w:szCs w:val="40"/>
        </w:rPr>
      </w:pPr>
      <w:r w:rsidRPr="005F3EFC">
        <w:rPr>
          <w:rFonts w:asciiTheme="majorHAnsi" w:hAnsiTheme="majorHAnsi" w:cstheme="majorHAnsi"/>
          <w:b/>
          <w:bCs/>
          <w:color w:val="1F497D" w:themeColor="text2"/>
          <w:sz w:val="40"/>
          <w:szCs w:val="40"/>
        </w:rPr>
        <w:t>Template</w:t>
      </w:r>
      <w:r w:rsidR="005F3EFC" w:rsidRPr="005F3EFC">
        <w:rPr>
          <w:rFonts w:asciiTheme="majorHAnsi" w:hAnsiTheme="majorHAnsi" w:cstheme="majorHAnsi"/>
          <w:b/>
          <w:bCs/>
          <w:color w:val="1F497D" w:themeColor="text2"/>
          <w:sz w:val="40"/>
          <w:szCs w:val="40"/>
        </w:rPr>
        <w:t xml:space="preserve"> for </w:t>
      </w:r>
      <w:r w:rsidR="00807E01">
        <w:rPr>
          <w:rFonts w:asciiTheme="majorHAnsi" w:hAnsiTheme="majorHAnsi" w:cstheme="majorHAnsi"/>
          <w:b/>
          <w:bCs/>
          <w:color w:val="1F497D" w:themeColor="text2"/>
          <w:sz w:val="40"/>
          <w:szCs w:val="40"/>
        </w:rPr>
        <w:t xml:space="preserve">Institution </w:t>
      </w:r>
      <w:r w:rsidR="005F3EFC" w:rsidRPr="005F3EFC">
        <w:rPr>
          <w:rFonts w:asciiTheme="majorHAnsi" w:hAnsiTheme="majorHAnsi" w:cstheme="majorHAnsi"/>
          <w:b/>
          <w:bCs/>
          <w:color w:val="1F497D" w:themeColor="text2"/>
          <w:sz w:val="40"/>
          <w:szCs w:val="40"/>
        </w:rPr>
        <w:t xml:space="preserve">Adaptation </w:t>
      </w:r>
    </w:p>
    <w:p w14:paraId="3CAB5AEA" w14:textId="77777777" w:rsidR="00F74B49" w:rsidRDefault="00F74B49">
      <w:pPr>
        <w:rPr>
          <w:rFonts w:asciiTheme="majorHAnsi" w:hAnsiTheme="majorHAnsi" w:cstheme="majorHAnsi"/>
          <w:b/>
        </w:rPr>
      </w:pPr>
    </w:p>
    <w:p w14:paraId="61898B4C" w14:textId="77777777" w:rsidR="00F74B49" w:rsidRDefault="00F74B49">
      <w:pPr>
        <w:rPr>
          <w:rFonts w:asciiTheme="majorHAnsi" w:hAnsiTheme="majorHAnsi" w:cstheme="majorHAnsi"/>
          <w:b/>
        </w:rPr>
      </w:pPr>
    </w:p>
    <w:p w14:paraId="6346860C" w14:textId="77777777" w:rsidR="00F74B49" w:rsidRDefault="00F74B49">
      <w:pPr>
        <w:rPr>
          <w:rFonts w:asciiTheme="majorHAnsi" w:hAnsiTheme="majorHAnsi" w:cstheme="majorHAnsi"/>
          <w:b/>
        </w:rPr>
      </w:pPr>
    </w:p>
    <w:p w14:paraId="1E5FC043" w14:textId="77777777" w:rsidR="00F74B49" w:rsidRDefault="00F74B49">
      <w:pPr>
        <w:rPr>
          <w:rFonts w:asciiTheme="majorHAnsi" w:hAnsiTheme="majorHAnsi" w:cstheme="majorHAnsi"/>
          <w:b/>
        </w:rPr>
      </w:pPr>
    </w:p>
    <w:p w14:paraId="21611370" w14:textId="77777777" w:rsidR="00F74B49" w:rsidRDefault="00F74B49">
      <w:pPr>
        <w:rPr>
          <w:rFonts w:asciiTheme="majorHAnsi" w:hAnsiTheme="majorHAnsi" w:cstheme="majorHAnsi"/>
          <w:b/>
        </w:rPr>
      </w:pPr>
    </w:p>
    <w:p w14:paraId="655B724E" w14:textId="77777777" w:rsidR="00F74B49" w:rsidRDefault="00F74B49">
      <w:pPr>
        <w:rPr>
          <w:rFonts w:asciiTheme="majorHAnsi" w:hAnsiTheme="majorHAnsi" w:cstheme="majorHAnsi"/>
          <w:b/>
        </w:rPr>
      </w:pPr>
    </w:p>
    <w:p w14:paraId="3DC67024" w14:textId="77777777" w:rsidR="00F74B49" w:rsidRDefault="00F74B49">
      <w:pPr>
        <w:rPr>
          <w:rFonts w:asciiTheme="majorHAnsi" w:hAnsiTheme="majorHAnsi" w:cstheme="majorHAnsi"/>
          <w:b/>
        </w:rPr>
      </w:pPr>
    </w:p>
    <w:p w14:paraId="36299CF3" w14:textId="77777777" w:rsidR="00F74B49" w:rsidRDefault="00F74B49">
      <w:pPr>
        <w:rPr>
          <w:rFonts w:asciiTheme="majorHAnsi" w:hAnsiTheme="majorHAnsi" w:cstheme="majorHAnsi"/>
          <w:b/>
        </w:rPr>
      </w:pPr>
    </w:p>
    <w:p w14:paraId="6D7C5C54" w14:textId="77777777" w:rsidR="00F74B49" w:rsidRDefault="00F74B49">
      <w:pPr>
        <w:rPr>
          <w:rFonts w:asciiTheme="majorHAnsi" w:hAnsiTheme="majorHAnsi" w:cstheme="majorHAnsi"/>
          <w:b/>
        </w:rPr>
      </w:pPr>
    </w:p>
    <w:p w14:paraId="265A0BDB" w14:textId="77777777" w:rsidR="00F74B49" w:rsidRDefault="00F74B49">
      <w:pPr>
        <w:rPr>
          <w:rFonts w:asciiTheme="majorHAnsi" w:hAnsiTheme="majorHAnsi" w:cstheme="majorHAnsi"/>
          <w:b/>
        </w:rPr>
      </w:pPr>
    </w:p>
    <w:p w14:paraId="0C90CC1F" w14:textId="77777777" w:rsidR="00F74B49" w:rsidRDefault="00F74B49">
      <w:pPr>
        <w:rPr>
          <w:rFonts w:asciiTheme="majorHAnsi" w:hAnsiTheme="majorHAnsi" w:cstheme="majorHAnsi"/>
          <w:b/>
        </w:rPr>
      </w:pPr>
    </w:p>
    <w:p w14:paraId="7A81F776" w14:textId="77777777" w:rsidR="00F74B49" w:rsidRDefault="00F74B49">
      <w:pPr>
        <w:rPr>
          <w:rFonts w:asciiTheme="majorHAnsi" w:hAnsiTheme="majorHAnsi" w:cstheme="majorHAnsi"/>
          <w:b/>
        </w:rPr>
      </w:pPr>
    </w:p>
    <w:p w14:paraId="6D088391" w14:textId="77777777" w:rsidR="00F74B49" w:rsidRDefault="00F74B49">
      <w:pPr>
        <w:rPr>
          <w:rFonts w:asciiTheme="majorHAnsi" w:hAnsiTheme="majorHAnsi" w:cstheme="majorHAnsi"/>
          <w:b/>
        </w:rPr>
      </w:pPr>
    </w:p>
    <w:p w14:paraId="3C334013" w14:textId="152DEC73" w:rsidR="00F74B49" w:rsidRDefault="00F74B49">
      <w:pPr>
        <w:rPr>
          <w:rFonts w:asciiTheme="majorHAnsi" w:hAnsiTheme="majorHAnsi" w:cstheme="majorHAnsi"/>
          <w:b/>
        </w:rPr>
      </w:pPr>
    </w:p>
    <w:p w14:paraId="1DD4BF90" w14:textId="05C5AB3E" w:rsidR="00F74B49" w:rsidRDefault="00F74B49">
      <w:pPr>
        <w:rPr>
          <w:rFonts w:asciiTheme="majorHAnsi" w:hAnsiTheme="majorHAnsi" w:cstheme="majorHAnsi"/>
          <w:b/>
        </w:rPr>
      </w:pPr>
    </w:p>
    <w:p w14:paraId="0B471848" w14:textId="417B42D2" w:rsidR="00F74B49" w:rsidRDefault="00F74B49">
      <w:pPr>
        <w:rPr>
          <w:rFonts w:asciiTheme="majorHAnsi" w:hAnsiTheme="majorHAnsi" w:cstheme="majorHAnsi"/>
          <w:b/>
        </w:rPr>
      </w:pPr>
    </w:p>
    <w:p w14:paraId="30BF42C3" w14:textId="34710FD4" w:rsidR="00F74B49" w:rsidRDefault="00F74B49">
      <w:pPr>
        <w:rPr>
          <w:rFonts w:asciiTheme="majorHAnsi" w:hAnsiTheme="majorHAnsi" w:cstheme="majorHAnsi"/>
          <w:b/>
        </w:rPr>
      </w:pPr>
    </w:p>
    <w:p w14:paraId="7078FB73" w14:textId="6C5356E6" w:rsidR="00F74B49" w:rsidRDefault="00F74B49">
      <w:pPr>
        <w:rPr>
          <w:rFonts w:asciiTheme="majorHAnsi" w:hAnsiTheme="majorHAnsi" w:cstheme="majorHAnsi"/>
          <w:b/>
        </w:rPr>
      </w:pPr>
    </w:p>
    <w:p w14:paraId="54399397" w14:textId="3FDFE032" w:rsidR="00F74B49" w:rsidRDefault="00F74B49">
      <w:pPr>
        <w:rPr>
          <w:rFonts w:asciiTheme="majorHAnsi" w:hAnsiTheme="majorHAnsi" w:cstheme="majorHAnsi"/>
          <w:b/>
        </w:rPr>
      </w:pPr>
    </w:p>
    <w:p w14:paraId="0AA8BDED" w14:textId="068AE5D2" w:rsidR="00F74B49" w:rsidRDefault="00F74B49">
      <w:pPr>
        <w:rPr>
          <w:rFonts w:asciiTheme="majorHAnsi" w:hAnsiTheme="majorHAnsi" w:cstheme="majorHAnsi"/>
          <w:b/>
        </w:rPr>
      </w:pPr>
    </w:p>
    <w:p w14:paraId="199F7006" w14:textId="14995BA4" w:rsidR="00F74B49" w:rsidRDefault="00F74B49">
      <w:pPr>
        <w:rPr>
          <w:rFonts w:asciiTheme="majorHAnsi" w:hAnsiTheme="majorHAnsi" w:cstheme="majorHAnsi"/>
          <w:b/>
        </w:rPr>
      </w:pPr>
    </w:p>
    <w:p w14:paraId="72B2D6E5" w14:textId="39A890CE" w:rsidR="00F74B49" w:rsidRDefault="00F74B49">
      <w:pPr>
        <w:rPr>
          <w:rFonts w:asciiTheme="majorHAnsi" w:hAnsiTheme="majorHAnsi" w:cstheme="majorHAnsi"/>
          <w:b/>
        </w:rPr>
      </w:pPr>
    </w:p>
    <w:p w14:paraId="198148AC" w14:textId="1B11C3C1" w:rsidR="002A324C" w:rsidRPr="005B257B" w:rsidRDefault="00681130">
      <w:pPr>
        <w:rPr>
          <w:rFonts w:asciiTheme="majorHAnsi" w:hAnsiTheme="majorHAnsi" w:cstheme="majorHAnsi"/>
          <w:color w:val="283C46"/>
          <w:shd w:val="clear" w:color="auto" w:fill="FAF8F7"/>
        </w:rPr>
      </w:pPr>
      <w:r w:rsidRPr="005B257B">
        <w:rPr>
          <w:rFonts w:asciiTheme="majorHAnsi" w:hAnsiTheme="majorHAnsi" w:cstheme="majorHAnsi"/>
          <w:b/>
        </w:rPr>
        <w:t>Disclaimer</w:t>
      </w:r>
      <w:r w:rsidR="005B257B" w:rsidRPr="005B257B">
        <w:rPr>
          <w:rFonts w:asciiTheme="majorHAnsi" w:hAnsiTheme="majorHAnsi" w:cstheme="majorHAnsi"/>
          <w:b/>
        </w:rPr>
        <w:t>:</w:t>
      </w:r>
      <w:r w:rsidR="005B257B" w:rsidRPr="005B257B">
        <w:rPr>
          <w:rFonts w:asciiTheme="majorHAnsi" w:hAnsiTheme="majorHAnsi" w:cstheme="majorHAnsi"/>
        </w:rPr>
        <w:t xml:space="preserve"> </w:t>
      </w:r>
      <w:r w:rsidR="005B257B" w:rsidRPr="005B257B">
        <w:rPr>
          <w:rFonts w:asciiTheme="majorHAnsi" w:hAnsiTheme="majorHAnsi" w:cstheme="majorHAnsi"/>
          <w:shd w:val="clear" w:color="auto" w:fill="FAF8F7"/>
        </w:rPr>
        <w:t>Use of SIDP guidelines and/or toolkits are intended as recommendations.  Use does not supersede clinical judgment based on the assessment of an individual patient by an individual practitioner.  The recommendations reflect the best available evidence at the time of publication and are not the sole resource for patient care management and/or an exclusive source of action</w:t>
      </w:r>
      <w:r w:rsidR="000D16C4" w:rsidRPr="005B257B">
        <w:rPr>
          <w:rFonts w:asciiTheme="majorHAnsi" w:hAnsiTheme="majorHAnsi" w:cstheme="majorHAnsi"/>
        </w:rPr>
        <w:t xml:space="preserve">. </w:t>
      </w:r>
      <w:r w:rsidRPr="005B257B">
        <w:rPr>
          <w:rFonts w:asciiTheme="majorHAnsi" w:hAnsiTheme="majorHAnsi" w:cstheme="majorHAnsi"/>
        </w:rPr>
        <w:t>Recommendations should be tailored to the local institution</w:t>
      </w:r>
      <w:r w:rsidR="002439B0" w:rsidRPr="005B257B">
        <w:rPr>
          <w:rFonts w:asciiTheme="majorHAnsi" w:hAnsiTheme="majorHAnsi" w:cstheme="majorHAnsi"/>
        </w:rPr>
        <w:t>.</w:t>
      </w:r>
      <w:r w:rsidRPr="005B257B">
        <w:rPr>
          <w:rFonts w:asciiTheme="majorHAnsi" w:hAnsiTheme="majorHAnsi" w:cstheme="majorHAnsi"/>
        </w:rPr>
        <w:t xml:space="preserve"> </w:t>
      </w:r>
      <w:r w:rsidR="002439B0" w:rsidRPr="005B257B">
        <w:rPr>
          <w:rFonts w:asciiTheme="majorHAnsi" w:hAnsiTheme="majorHAnsi" w:cstheme="majorHAnsi"/>
        </w:rPr>
        <w:t>I</w:t>
      </w:r>
      <w:r w:rsidRPr="005B257B">
        <w:rPr>
          <w:rFonts w:asciiTheme="majorHAnsi" w:hAnsiTheme="majorHAnsi" w:cstheme="majorHAnsi"/>
        </w:rPr>
        <w:t>nstitution</w:t>
      </w:r>
      <w:r w:rsidR="002439B0" w:rsidRPr="005B257B">
        <w:rPr>
          <w:rFonts w:asciiTheme="majorHAnsi" w:hAnsiTheme="majorHAnsi" w:cstheme="majorHAnsi"/>
        </w:rPr>
        <w:t>-</w:t>
      </w:r>
      <w:r w:rsidRPr="005B257B">
        <w:rPr>
          <w:rFonts w:asciiTheme="majorHAnsi" w:hAnsiTheme="majorHAnsi" w:cstheme="majorHAnsi"/>
        </w:rPr>
        <w:t>specific considerations will be highlighted throughout.</w:t>
      </w:r>
      <w:r w:rsidR="00F74B49" w:rsidRPr="005B257B">
        <w:rPr>
          <w:rFonts w:asciiTheme="majorHAnsi" w:hAnsiTheme="majorHAnsi" w:cstheme="majorHAnsi"/>
        </w:rPr>
        <w:t xml:space="preserve"> Last updated </w:t>
      </w:r>
      <w:r w:rsidR="00C92B45">
        <w:rPr>
          <w:rFonts w:asciiTheme="majorHAnsi" w:hAnsiTheme="majorHAnsi" w:cstheme="majorHAnsi"/>
        </w:rPr>
        <w:t>March 23, 2024</w:t>
      </w:r>
      <w:r w:rsidR="00F74B49" w:rsidRPr="005B257B">
        <w:rPr>
          <w:rFonts w:asciiTheme="majorHAnsi" w:hAnsiTheme="majorHAnsi" w:cstheme="majorHAnsi"/>
        </w:rPr>
        <w:t>.</w:t>
      </w:r>
      <w:r w:rsidR="00F74B49" w:rsidRPr="005B257B">
        <w:rPr>
          <w:rFonts w:asciiTheme="majorHAnsi" w:hAnsiTheme="majorHAnsi" w:cstheme="majorHAnsi"/>
        </w:rPr>
        <w:br w:type="page"/>
      </w:r>
    </w:p>
    <w:sdt>
      <w:sdtPr>
        <w:rPr>
          <w:rFonts w:ascii="Arial" w:eastAsia="Arial" w:hAnsi="Arial" w:cs="Arial"/>
          <w:color w:val="auto"/>
          <w:sz w:val="22"/>
          <w:szCs w:val="22"/>
          <w:lang w:val="en"/>
        </w:rPr>
        <w:id w:val="-48389264"/>
        <w:docPartObj>
          <w:docPartGallery w:val="Table of Contents"/>
          <w:docPartUnique/>
        </w:docPartObj>
      </w:sdtPr>
      <w:sdtEndPr>
        <w:rPr>
          <w:b/>
          <w:bCs/>
          <w:noProof/>
        </w:rPr>
      </w:sdtEndPr>
      <w:sdtContent>
        <w:p w14:paraId="2BA304C8" w14:textId="0075C631" w:rsidR="00B56C7C" w:rsidRDefault="00B56C7C">
          <w:pPr>
            <w:pStyle w:val="TOCHeading"/>
          </w:pPr>
          <w:r>
            <w:t>Contents</w:t>
          </w:r>
        </w:p>
        <w:p w14:paraId="12F53235" w14:textId="46012CFE" w:rsidR="001F5BE7" w:rsidRDefault="00B56C7C">
          <w:pPr>
            <w:pStyle w:val="TOC1"/>
            <w:tabs>
              <w:tab w:val="right" w:leader="dot" w:pos="9350"/>
            </w:tabs>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63242821" w:history="1">
            <w:r w:rsidR="001F5BE7" w:rsidRPr="00F34677">
              <w:rPr>
                <w:rStyle w:val="Hyperlink"/>
                <w:rFonts w:asciiTheme="majorHAnsi" w:hAnsiTheme="majorHAnsi" w:cstheme="majorHAnsi"/>
                <w:b/>
                <w:bCs/>
                <w:noProof/>
              </w:rPr>
              <w:t>Background of AUC-Guided Vancomycin Dosing</w:t>
            </w:r>
            <w:r w:rsidR="001F5BE7">
              <w:rPr>
                <w:noProof/>
                <w:webHidden/>
              </w:rPr>
              <w:tab/>
            </w:r>
            <w:r w:rsidR="001F5BE7">
              <w:rPr>
                <w:noProof/>
                <w:webHidden/>
              </w:rPr>
              <w:fldChar w:fldCharType="begin"/>
            </w:r>
            <w:r w:rsidR="001F5BE7">
              <w:rPr>
                <w:noProof/>
                <w:webHidden/>
              </w:rPr>
              <w:instrText xml:space="preserve"> PAGEREF _Toc63242821 \h </w:instrText>
            </w:r>
            <w:r w:rsidR="001F5BE7">
              <w:rPr>
                <w:noProof/>
                <w:webHidden/>
              </w:rPr>
            </w:r>
            <w:r w:rsidR="001F5BE7">
              <w:rPr>
                <w:noProof/>
                <w:webHidden/>
              </w:rPr>
              <w:fldChar w:fldCharType="separate"/>
            </w:r>
            <w:r w:rsidR="001F5BE7">
              <w:rPr>
                <w:noProof/>
                <w:webHidden/>
              </w:rPr>
              <w:t>4</w:t>
            </w:r>
            <w:r w:rsidR="001F5BE7">
              <w:rPr>
                <w:noProof/>
                <w:webHidden/>
              </w:rPr>
              <w:fldChar w:fldCharType="end"/>
            </w:r>
          </w:hyperlink>
        </w:p>
        <w:p w14:paraId="6393CBBB" w14:textId="724C13F3" w:rsidR="001F5BE7" w:rsidRDefault="00000000">
          <w:pPr>
            <w:pStyle w:val="TOC1"/>
            <w:tabs>
              <w:tab w:val="right" w:leader="dot" w:pos="9350"/>
            </w:tabs>
            <w:rPr>
              <w:rFonts w:asciiTheme="minorHAnsi" w:eastAsiaTheme="minorEastAsia" w:hAnsiTheme="minorHAnsi" w:cstheme="minorBidi"/>
              <w:noProof/>
              <w:lang w:val="en-US"/>
            </w:rPr>
          </w:pPr>
          <w:hyperlink w:anchor="_Toc63242822" w:history="1">
            <w:r w:rsidR="001F5BE7" w:rsidRPr="00F34677">
              <w:rPr>
                <w:rStyle w:val="Hyperlink"/>
                <w:rFonts w:asciiTheme="majorHAnsi" w:hAnsiTheme="majorHAnsi" w:cstheme="majorHAnsi"/>
                <w:b/>
                <w:bCs/>
                <w:noProof/>
              </w:rPr>
              <w:t>Determining the Vancomycin Dosing Strategy</w:t>
            </w:r>
            <w:r w:rsidR="001F5BE7">
              <w:rPr>
                <w:noProof/>
                <w:webHidden/>
              </w:rPr>
              <w:tab/>
            </w:r>
            <w:r w:rsidR="001F5BE7">
              <w:rPr>
                <w:noProof/>
                <w:webHidden/>
              </w:rPr>
              <w:fldChar w:fldCharType="begin"/>
            </w:r>
            <w:r w:rsidR="001F5BE7">
              <w:rPr>
                <w:noProof/>
                <w:webHidden/>
              </w:rPr>
              <w:instrText xml:space="preserve"> PAGEREF _Toc63242822 \h </w:instrText>
            </w:r>
            <w:r w:rsidR="001F5BE7">
              <w:rPr>
                <w:noProof/>
                <w:webHidden/>
              </w:rPr>
            </w:r>
            <w:r w:rsidR="001F5BE7">
              <w:rPr>
                <w:noProof/>
                <w:webHidden/>
              </w:rPr>
              <w:fldChar w:fldCharType="separate"/>
            </w:r>
            <w:r w:rsidR="001F5BE7">
              <w:rPr>
                <w:noProof/>
                <w:webHidden/>
              </w:rPr>
              <w:t>5</w:t>
            </w:r>
            <w:r w:rsidR="001F5BE7">
              <w:rPr>
                <w:noProof/>
                <w:webHidden/>
              </w:rPr>
              <w:fldChar w:fldCharType="end"/>
            </w:r>
          </w:hyperlink>
        </w:p>
        <w:p w14:paraId="37FBB2C7" w14:textId="40AC457E" w:rsidR="001F5BE7" w:rsidRDefault="00000000">
          <w:pPr>
            <w:pStyle w:val="TOC2"/>
            <w:rPr>
              <w:rFonts w:asciiTheme="minorHAnsi" w:eastAsiaTheme="minorEastAsia" w:hAnsiTheme="minorHAnsi" w:cstheme="minorBidi"/>
              <w:b w:val="0"/>
              <w:bCs w:val="0"/>
              <w:lang w:val="en-US"/>
            </w:rPr>
          </w:pPr>
          <w:hyperlink w:anchor="_Toc63242823" w:history="1">
            <w:r w:rsidR="001F5BE7" w:rsidRPr="00F34677">
              <w:rPr>
                <w:rStyle w:val="Hyperlink"/>
              </w:rPr>
              <w:t>Assessment of patient weight and renal function</w:t>
            </w:r>
            <w:r w:rsidR="001F5BE7">
              <w:rPr>
                <w:webHidden/>
              </w:rPr>
              <w:tab/>
            </w:r>
            <w:r w:rsidR="001F5BE7">
              <w:rPr>
                <w:webHidden/>
              </w:rPr>
              <w:fldChar w:fldCharType="begin"/>
            </w:r>
            <w:r w:rsidR="001F5BE7">
              <w:rPr>
                <w:webHidden/>
              </w:rPr>
              <w:instrText xml:space="preserve"> PAGEREF _Toc63242823 \h </w:instrText>
            </w:r>
            <w:r w:rsidR="001F5BE7">
              <w:rPr>
                <w:webHidden/>
              </w:rPr>
            </w:r>
            <w:r w:rsidR="001F5BE7">
              <w:rPr>
                <w:webHidden/>
              </w:rPr>
              <w:fldChar w:fldCharType="separate"/>
            </w:r>
            <w:r w:rsidR="001F5BE7">
              <w:rPr>
                <w:webHidden/>
              </w:rPr>
              <w:t>5</w:t>
            </w:r>
            <w:r w:rsidR="001F5BE7">
              <w:rPr>
                <w:webHidden/>
              </w:rPr>
              <w:fldChar w:fldCharType="end"/>
            </w:r>
          </w:hyperlink>
        </w:p>
        <w:p w14:paraId="4E066112" w14:textId="2FDDEFD0" w:rsidR="001F5BE7" w:rsidRDefault="00000000">
          <w:pPr>
            <w:pStyle w:val="TOC2"/>
            <w:rPr>
              <w:rFonts w:asciiTheme="minorHAnsi" w:eastAsiaTheme="minorEastAsia" w:hAnsiTheme="minorHAnsi" w:cstheme="minorBidi"/>
              <w:b w:val="0"/>
              <w:bCs w:val="0"/>
              <w:lang w:val="en-US"/>
            </w:rPr>
          </w:pPr>
          <w:hyperlink w:anchor="_Toc63242824" w:history="1">
            <w:r w:rsidR="001F5BE7" w:rsidRPr="00F34677">
              <w:rPr>
                <w:rStyle w:val="Hyperlink"/>
              </w:rPr>
              <w:t>Vancomycin Loading Doses</w:t>
            </w:r>
            <w:r w:rsidR="001F5BE7">
              <w:rPr>
                <w:webHidden/>
              </w:rPr>
              <w:tab/>
            </w:r>
            <w:r w:rsidR="001F5BE7">
              <w:rPr>
                <w:webHidden/>
              </w:rPr>
              <w:fldChar w:fldCharType="begin"/>
            </w:r>
            <w:r w:rsidR="001F5BE7">
              <w:rPr>
                <w:webHidden/>
              </w:rPr>
              <w:instrText xml:space="preserve"> PAGEREF _Toc63242824 \h </w:instrText>
            </w:r>
            <w:r w:rsidR="001F5BE7">
              <w:rPr>
                <w:webHidden/>
              </w:rPr>
            </w:r>
            <w:r w:rsidR="001F5BE7">
              <w:rPr>
                <w:webHidden/>
              </w:rPr>
              <w:fldChar w:fldCharType="separate"/>
            </w:r>
            <w:r w:rsidR="001F5BE7">
              <w:rPr>
                <w:webHidden/>
              </w:rPr>
              <w:t>7</w:t>
            </w:r>
            <w:r w:rsidR="001F5BE7">
              <w:rPr>
                <w:webHidden/>
              </w:rPr>
              <w:fldChar w:fldCharType="end"/>
            </w:r>
          </w:hyperlink>
        </w:p>
        <w:p w14:paraId="65C6D524" w14:textId="18E297D3" w:rsidR="001F5BE7" w:rsidRDefault="00000000">
          <w:pPr>
            <w:pStyle w:val="TOC2"/>
            <w:rPr>
              <w:rFonts w:asciiTheme="minorHAnsi" w:eastAsiaTheme="minorEastAsia" w:hAnsiTheme="minorHAnsi" w:cstheme="minorBidi"/>
              <w:b w:val="0"/>
              <w:bCs w:val="0"/>
              <w:lang w:val="en-US"/>
            </w:rPr>
          </w:pPr>
          <w:hyperlink w:anchor="_Toc63242825" w:history="1">
            <w:r w:rsidR="001F5BE7" w:rsidRPr="00F34677">
              <w:rPr>
                <w:rStyle w:val="Hyperlink"/>
              </w:rPr>
              <w:t>Vancomycin AUC-Guided Dosing &amp; Monitoring</w:t>
            </w:r>
            <w:r w:rsidR="001F5BE7">
              <w:rPr>
                <w:webHidden/>
              </w:rPr>
              <w:tab/>
            </w:r>
            <w:r w:rsidR="001F5BE7">
              <w:rPr>
                <w:webHidden/>
              </w:rPr>
              <w:fldChar w:fldCharType="begin"/>
            </w:r>
            <w:r w:rsidR="001F5BE7">
              <w:rPr>
                <w:webHidden/>
              </w:rPr>
              <w:instrText xml:space="preserve"> PAGEREF _Toc63242825 \h </w:instrText>
            </w:r>
            <w:r w:rsidR="001F5BE7">
              <w:rPr>
                <w:webHidden/>
              </w:rPr>
            </w:r>
            <w:r w:rsidR="001F5BE7">
              <w:rPr>
                <w:webHidden/>
              </w:rPr>
              <w:fldChar w:fldCharType="separate"/>
            </w:r>
            <w:r w:rsidR="001F5BE7">
              <w:rPr>
                <w:webHidden/>
              </w:rPr>
              <w:t>7</w:t>
            </w:r>
            <w:r w:rsidR="001F5BE7">
              <w:rPr>
                <w:webHidden/>
              </w:rPr>
              <w:fldChar w:fldCharType="end"/>
            </w:r>
          </w:hyperlink>
        </w:p>
        <w:p w14:paraId="17EBAB9C" w14:textId="30CD45FF" w:rsidR="001F5BE7" w:rsidRDefault="00000000">
          <w:pPr>
            <w:pStyle w:val="TOC2"/>
            <w:rPr>
              <w:rFonts w:asciiTheme="minorHAnsi" w:eastAsiaTheme="minorEastAsia" w:hAnsiTheme="minorHAnsi" w:cstheme="minorBidi"/>
              <w:b w:val="0"/>
              <w:bCs w:val="0"/>
              <w:lang w:val="en-US"/>
            </w:rPr>
          </w:pPr>
          <w:hyperlink w:anchor="_Toc63242826" w:history="1">
            <w:r w:rsidR="001F5BE7" w:rsidRPr="00F34677">
              <w:rPr>
                <w:rStyle w:val="Hyperlink"/>
              </w:rPr>
              <w:t>Vancomycin Trough Guided Dosing and Monitoring</w:t>
            </w:r>
            <w:r w:rsidR="001F5BE7">
              <w:rPr>
                <w:webHidden/>
              </w:rPr>
              <w:tab/>
            </w:r>
            <w:r w:rsidR="001F5BE7">
              <w:rPr>
                <w:webHidden/>
              </w:rPr>
              <w:fldChar w:fldCharType="begin"/>
            </w:r>
            <w:r w:rsidR="001F5BE7">
              <w:rPr>
                <w:webHidden/>
              </w:rPr>
              <w:instrText xml:space="preserve"> PAGEREF _Toc63242826 \h </w:instrText>
            </w:r>
            <w:r w:rsidR="001F5BE7">
              <w:rPr>
                <w:webHidden/>
              </w:rPr>
            </w:r>
            <w:r w:rsidR="001F5BE7">
              <w:rPr>
                <w:webHidden/>
              </w:rPr>
              <w:fldChar w:fldCharType="separate"/>
            </w:r>
            <w:r w:rsidR="001F5BE7">
              <w:rPr>
                <w:webHidden/>
              </w:rPr>
              <w:t>11</w:t>
            </w:r>
            <w:r w:rsidR="001F5BE7">
              <w:rPr>
                <w:webHidden/>
              </w:rPr>
              <w:fldChar w:fldCharType="end"/>
            </w:r>
          </w:hyperlink>
        </w:p>
        <w:p w14:paraId="472337DE" w14:textId="1F2F0A12" w:rsidR="001F5BE7" w:rsidRDefault="00000000">
          <w:pPr>
            <w:pStyle w:val="TOC1"/>
            <w:tabs>
              <w:tab w:val="right" w:leader="dot" w:pos="9350"/>
            </w:tabs>
            <w:rPr>
              <w:rFonts w:asciiTheme="minorHAnsi" w:eastAsiaTheme="minorEastAsia" w:hAnsiTheme="minorHAnsi" w:cstheme="minorBidi"/>
              <w:noProof/>
              <w:lang w:val="en-US"/>
            </w:rPr>
          </w:pPr>
          <w:hyperlink w:anchor="_Toc63242827" w:history="1">
            <w:r w:rsidR="001F5BE7" w:rsidRPr="00F34677">
              <w:rPr>
                <w:rStyle w:val="Hyperlink"/>
                <w:rFonts w:asciiTheme="majorHAnsi" w:hAnsiTheme="majorHAnsi" w:cstheme="majorHAnsi"/>
                <w:b/>
                <w:bCs/>
                <w:noProof/>
              </w:rPr>
              <w:t>Vancomycin Dosing in Special Populations</w:t>
            </w:r>
            <w:r w:rsidR="001F5BE7">
              <w:rPr>
                <w:noProof/>
                <w:webHidden/>
              </w:rPr>
              <w:tab/>
            </w:r>
            <w:r w:rsidR="001F5BE7">
              <w:rPr>
                <w:noProof/>
                <w:webHidden/>
              </w:rPr>
              <w:fldChar w:fldCharType="begin"/>
            </w:r>
            <w:r w:rsidR="001F5BE7">
              <w:rPr>
                <w:noProof/>
                <w:webHidden/>
              </w:rPr>
              <w:instrText xml:space="preserve"> PAGEREF _Toc63242827 \h </w:instrText>
            </w:r>
            <w:r w:rsidR="001F5BE7">
              <w:rPr>
                <w:noProof/>
                <w:webHidden/>
              </w:rPr>
            </w:r>
            <w:r w:rsidR="001F5BE7">
              <w:rPr>
                <w:noProof/>
                <w:webHidden/>
              </w:rPr>
              <w:fldChar w:fldCharType="separate"/>
            </w:r>
            <w:r w:rsidR="001F5BE7">
              <w:rPr>
                <w:noProof/>
                <w:webHidden/>
              </w:rPr>
              <w:t>13</w:t>
            </w:r>
            <w:r w:rsidR="001F5BE7">
              <w:rPr>
                <w:noProof/>
                <w:webHidden/>
              </w:rPr>
              <w:fldChar w:fldCharType="end"/>
            </w:r>
          </w:hyperlink>
        </w:p>
        <w:p w14:paraId="2D232255" w14:textId="6FFEB7C3" w:rsidR="001F5BE7" w:rsidRDefault="00000000">
          <w:pPr>
            <w:pStyle w:val="TOC2"/>
            <w:rPr>
              <w:rFonts w:asciiTheme="minorHAnsi" w:eastAsiaTheme="minorEastAsia" w:hAnsiTheme="minorHAnsi" w:cstheme="minorBidi"/>
              <w:b w:val="0"/>
              <w:bCs w:val="0"/>
              <w:lang w:val="en-US"/>
            </w:rPr>
          </w:pPr>
          <w:hyperlink w:anchor="_Toc63242828" w:history="1">
            <w:r w:rsidR="001F5BE7" w:rsidRPr="00F34677">
              <w:rPr>
                <w:rStyle w:val="Hyperlink"/>
                <w:rFonts w:eastAsia="Calibri"/>
              </w:rPr>
              <w:t>Patients with renal insufficiency requiring dialysis</w:t>
            </w:r>
            <w:r w:rsidR="001F5BE7">
              <w:rPr>
                <w:webHidden/>
              </w:rPr>
              <w:tab/>
            </w:r>
            <w:r w:rsidR="001F5BE7">
              <w:rPr>
                <w:webHidden/>
              </w:rPr>
              <w:fldChar w:fldCharType="begin"/>
            </w:r>
            <w:r w:rsidR="001F5BE7">
              <w:rPr>
                <w:webHidden/>
              </w:rPr>
              <w:instrText xml:space="preserve"> PAGEREF _Toc63242828 \h </w:instrText>
            </w:r>
            <w:r w:rsidR="001F5BE7">
              <w:rPr>
                <w:webHidden/>
              </w:rPr>
            </w:r>
            <w:r w:rsidR="001F5BE7">
              <w:rPr>
                <w:webHidden/>
              </w:rPr>
              <w:fldChar w:fldCharType="separate"/>
            </w:r>
            <w:r w:rsidR="001F5BE7">
              <w:rPr>
                <w:webHidden/>
              </w:rPr>
              <w:t>13</w:t>
            </w:r>
            <w:r w:rsidR="001F5BE7">
              <w:rPr>
                <w:webHidden/>
              </w:rPr>
              <w:fldChar w:fldCharType="end"/>
            </w:r>
          </w:hyperlink>
        </w:p>
        <w:p w14:paraId="37E8D2D3" w14:textId="3D7AFE1E" w:rsidR="001F5BE7" w:rsidRDefault="00000000">
          <w:pPr>
            <w:pStyle w:val="TOC1"/>
            <w:tabs>
              <w:tab w:val="right" w:leader="dot" w:pos="9350"/>
            </w:tabs>
            <w:rPr>
              <w:rFonts w:asciiTheme="minorHAnsi" w:eastAsiaTheme="minorEastAsia" w:hAnsiTheme="minorHAnsi" w:cstheme="minorBidi"/>
              <w:noProof/>
              <w:lang w:val="en-US"/>
            </w:rPr>
          </w:pPr>
          <w:hyperlink w:anchor="_Toc63242829" w:history="1">
            <w:r w:rsidR="001F5BE7" w:rsidRPr="00F34677">
              <w:rPr>
                <w:rStyle w:val="Hyperlink"/>
                <w:rFonts w:asciiTheme="majorHAnsi" w:hAnsiTheme="majorHAnsi" w:cstheme="majorHAnsi"/>
                <w:noProof/>
              </w:rPr>
              <w:t>References:</w:t>
            </w:r>
            <w:r w:rsidR="001F5BE7">
              <w:rPr>
                <w:noProof/>
                <w:webHidden/>
              </w:rPr>
              <w:tab/>
            </w:r>
            <w:r w:rsidR="001F5BE7">
              <w:rPr>
                <w:noProof/>
                <w:webHidden/>
              </w:rPr>
              <w:fldChar w:fldCharType="begin"/>
            </w:r>
            <w:r w:rsidR="001F5BE7">
              <w:rPr>
                <w:noProof/>
                <w:webHidden/>
              </w:rPr>
              <w:instrText xml:space="preserve"> PAGEREF _Toc63242829 \h </w:instrText>
            </w:r>
            <w:r w:rsidR="001F5BE7">
              <w:rPr>
                <w:noProof/>
                <w:webHidden/>
              </w:rPr>
            </w:r>
            <w:r w:rsidR="001F5BE7">
              <w:rPr>
                <w:noProof/>
                <w:webHidden/>
              </w:rPr>
              <w:fldChar w:fldCharType="separate"/>
            </w:r>
            <w:r w:rsidR="001F5BE7">
              <w:rPr>
                <w:noProof/>
                <w:webHidden/>
              </w:rPr>
              <w:t>16</w:t>
            </w:r>
            <w:r w:rsidR="001F5BE7">
              <w:rPr>
                <w:noProof/>
                <w:webHidden/>
              </w:rPr>
              <w:fldChar w:fldCharType="end"/>
            </w:r>
          </w:hyperlink>
        </w:p>
        <w:p w14:paraId="79ECA81D" w14:textId="16F04701" w:rsidR="001F5BE7" w:rsidRDefault="00000000">
          <w:pPr>
            <w:pStyle w:val="TOC1"/>
            <w:tabs>
              <w:tab w:val="right" w:leader="dot" w:pos="9350"/>
            </w:tabs>
            <w:rPr>
              <w:rFonts w:asciiTheme="minorHAnsi" w:eastAsiaTheme="minorEastAsia" w:hAnsiTheme="minorHAnsi" w:cstheme="minorBidi"/>
              <w:noProof/>
              <w:lang w:val="en-US"/>
            </w:rPr>
          </w:pPr>
          <w:hyperlink w:anchor="_Toc63242830" w:history="1">
            <w:r w:rsidR="001F5BE7" w:rsidRPr="00F34677">
              <w:rPr>
                <w:rStyle w:val="Hyperlink"/>
                <w:rFonts w:asciiTheme="majorHAnsi" w:hAnsiTheme="majorHAnsi" w:cstheme="majorHAnsi"/>
                <w:noProof/>
              </w:rPr>
              <w:t>Appendices</w:t>
            </w:r>
            <w:r w:rsidR="001F5BE7">
              <w:rPr>
                <w:noProof/>
                <w:webHidden/>
              </w:rPr>
              <w:tab/>
            </w:r>
            <w:r w:rsidR="001F5BE7">
              <w:rPr>
                <w:noProof/>
                <w:webHidden/>
              </w:rPr>
              <w:fldChar w:fldCharType="begin"/>
            </w:r>
            <w:r w:rsidR="001F5BE7">
              <w:rPr>
                <w:noProof/>
                <w:webHidden/>
              </w:rPr>
              <w:instrText xml:space="preserve"> PAGEREF _Toc63242830 \h </w:instrText>
            </w:r>
            <w:r w:rsidR="001F5BE7">
              <w:rPr>
                <w:noProof/>
                <w:webHidden/>
              </w:rPr>
            </w:r>
            <w:r w:rsidR="001F5BE7">
              <w:rPr>
                <w:noProof/>
                <w:webHidden/>
              </w:rPr>
              <w:fldChar w:fldCharType="separate"/>
            </w:r>
            <w:r w:rsidR="001F5BE7">
              <w:rPr>
                <w:noProof/>
                <w:webHidden/>
              </w:rPr>
              <w:t>17</w:t>
            </w:r>
            <w:r w:rsidR="001F5BE7">
              <w:rPr>
                <w:noProof/>
                <w:webHidden/>
              </w:rPr>
              <w:fldChar w:fldCharType="end"/>
            </w:r>
          </w:hyperlink>
        </w:p>
        <w:p w14:paraId="27FB3543" w14:textId="7D85D97B" w:rsidR="00B56C7C" w:rsidRDefault="00B56C7C">
          <w:r>
            <w:rPr>
              <w:b/>
              <w:bCs/>
              <w:noProof/>
            </w:rPr>
            <w:fldChar w:fldCharType="end"/>
          </w:r>
        </w:p>
      </w:sdtContent>
    </w:sdt>
    <w:p w14:paraId="2893B71B" w14:textId="77777777" w:rsidR="002A324C" w:rsidRPr="005F3EFC" w:rsidRDefault="002A324C">
      <w:pPr>
        <w:rPr>
          <w:rFonts w:asciiTheme="majorHAnsi" w:hAnsiTheme="majorHAnsi" w:cstheme="majorHAnsi"/>
        </w:rPr>
      </w:pPr>
    </w:p>
    <w:p w14:paraId="610DE2F5" w14:textId="77777777" w:rsidR="005F3EFC" w:rsidRDefault="005F3EFC">
      <w:pPr>
        <w:rPr>
          <w:rFonts w:asciiTheme="majorHAnsi" w:hAnsiTheme="majorHAnsi" w:cstheme="majorHAnsi"/>
        </w:rPr>
      </w:pPr>
    </w:p>
    <w:p w14:paraId="6BDE54A7" w14:textId="77777777" w:rsidR="005F3EFC" w:rsidRDefault="005F3EFC">
      <w:pPr>
        <w:rPr>
          <w:rFonts w:asciiTheme="majorHAnsi" w:hAnsiTheme="majorHAnsi" w:cstheme="majorHAnsi"/>
        </w:rPr>
      </w:pPr>
    </w:p>
    <w:p w14:paraId="1B967FDE" w14:textId="77777777" w:rsidR="005F3EFC" w:rsidRDefault="005F3EFC">
      <w:pPr>
        <w:rPr>
          <w:rFonts w:asciiTheme="majorHAnsi" w:hAnsiTheme="majorHAnsi" w:cstheme="majorHAnsi"/>
        </w:rPr>
      </w:pPr>
    </w:p>
    <w:p w14:paraId="575B5FF0" w14:textId="77777777" w:rsidR="005F3EFC" w:rsidRDefault="005F3EFC">
      <w:pPr>
        <w:rPr>
          <w:rFonts w:asciiTheme="majorHAnsi" w:hAnsiTheme="majorHAnsi" w:cstheme="majorHAnsi"/>
        </w:rPr>
      </w:pPr>
    </w:p>
    <w:p w14:paraId="288518A5" w14:textId="77777777" w:rsidR="005F3EFC" w:rsidRDefault="005F3EFC">
      <w:pPr>
        <w:rPr>
          <w:rFonts w:asciiTheme="majorHAnsi" w:hAnsiTheme="majorHAnsi" w:cstheme="majorHAnsi"/>
        </w:rPr>
      </w:pPr>
    </w:p>
    <w:p w14:paraId="071486BF" w14:textId="77777777" w:rsidR="005F3EFC" w:rsidRDefault="005F3EFC">
      <w:pPr>
        <w:rPr>
          <w:rFonts w:asciiTheme="majorHAnsi" w:hAnsiTheme="majorHAnsi" w:cstheme="majorHAnsi"/>
        </w:rPr>
      </w:pPr>
    </w:p>
    <w:p w14:paraId="4A7C3A90" w14:textId="77777777" w:rsidR="005F3EFC" w:rsidRDefault="005F3EFC">
      <w:pPr>
        <w:rPr>
          <w:rFonts w:asciiTheme="majorHAnsi" w:hAnsiTheme="majorHAnsi" w:cstheme="majorHAnsi"/>
        </w:rPr>
      </w:pPr>
    </w:p>
    <w:p w14:paraId="0A19374B" w14:textId="77777777" w:rsidR="005F3EFC" w:rsidRDefault="005F3EFC">
      <w:pPr>
        <w:rPr>
          <w:rFonts w:asciiTheme="majorHAnsi" w:hAnsiTheme="majorHAnsi" w:cstheme="majorHAnsi"/>
        </w:rPr>
      </w:pPr>
    </w:p>
    <w:p w14:paraId="15CD9F47" w14:textId="77777777" w:rsidR="005F3EFC" w:rsidRDefault="005F3EFC">
      <w:pPr>
        <w:rPr>
          <w:rFonts w:asciiTheme="majorHAnsi" w:hAnsiTheme="majorHAnsi" w:cstheme="majorHAnsi"/>
        </w:rPr>
      </w:pPr>
    </w:p>
    <w:p w14:paraId="78590ED6" w14:textId="77777777" w:rsidR="005F3EFC" w:rsidRDefault="005F3EFC">
      <w:pPr>
        <w:rPr>
          <w:rFonts w:asciiTheme="majorHAnsi" w:hAnsiTheme="majorHAnsi" w:cstheme="majorHAnsi"/>
        </w:rPr>
      </w:pPr>
    </w:p>
    <w:p w14:paraId="5AF379AD" w14:textId="77777777" w:rsidR="005F3EFC" w:rsidRDefault="005F3EFC">
      <w:pPr>
        <w:rPr>
          <w:rFonts w:asciiTheme="majorHAnsi" w:hAnsiTheme="majorHAnsi" w:cstheme="majorHAnsi"/>
        </w:rPr>
      </w:pPr>
    </w:p>
    <w:p w14:paraId="2C3F682B" w14:textId="77777777" w:rsidR="005F3EFC" w:rsidRDefault="005F3EFC">
      <w:pPr>
        <w:rPr>
          <w:rFonts w:asciiTheme="majorHAnsi" w:hAnsiTheme="majorHAnsi" w:cstheme="majorHAnsi"/>
        </w:rPr>
      </w:pPr>
    </w:p>
    <w:p w14:paraId="72049C5C" w14:textId="77777777" w:rsidR="005F3EFC" w:rsidRDefault="005F3EFC">
      <w:pPr>
        <w:rPr>
          <w:rFonts w:asciiTheme="majorHAnsi" w:hAnsiTheme="majorHAnsi" w:cstheme="majorHAnsi"/>
        </w:rPr>
      </w:pPr>
    </w:p>
    <w:p w14:paraId="3A615C43" w14:textId="77777777" w:rsidR="005F3EFC" w:rsidRDefault="005F3EFC">
      <w:pPr>
        <w:rPr>
          <w:rFonts w:asciiTheme="majorHAnsi" w:hAnsiTheme="majorHAnsi" w:cstheme="majorHAnsi"/>
        </w:rPr>
      </w:pPr>
    </w:p>
    <w:p w14:paraId="30388D50" w14:textId="77777777" w:rsidR="005F3EFC" w:rsidRDefault="005F3EFC">
      <w:pPr>
        <w:rPr>
          <w:rFonts w:asciiTheme="majorHAnsi" w:hAnsiTheme="majorHAnsi" w:cstheme="majorHAnsi"/>
        </w:rPr>
      </w:pPr>
    </w:p>
    <w:p w14:paraId="6E936F77" w14:textId="77777777" w:rsidR="005F3EFC" w:rsidRDefault="005F3EFC">
      <w:pPr>
        <w:rPr>
          <w:rFonts w:asciiTheme="majorHAnsi" w:hAnsiTheme="majorHAnsi" w:cstheme="majorHAnsi"/>
        </w:rPr>
      </w:pPr>
    </w:p>
    <w:p w14:paraId="00684CE8" w14:textId="77777777" w:rsidR="005F3EFC" w:rsidRDefault="005F3EFC">
      <w:pPr>
        <w:rPr>
          <w:rFonts w:asciiTheme="majorHAnsi" w:hAnsiTheme="majorHAnsi" w:cstheme="majorHAnsi"/>
        </w:rPr>
      </w:pPr>
    </w:p>
    <w:p w14:paraId="0C34751D" w14:textId="77777777" w:rsidR="005F3EFC" w:rsidRDefault="005F3EFC">
      <w:pPr>
        <w:rPr>
          <w:rFonts w:asciiTheme="majorHAnsi" w:hAnsiTheme="majorHAnsi" w:cstheme="majorHAnsi"/>
        </w:rPr>
      </w:pPr>
    </w:p>
    <w:p w14:paraId="107DF5F3" w14:textId="77777777" w:rsidR="005F3EFC" w:rsidRDefault="005F3EFC">
      <w:pPr>
        <w:rPr>
          <w:rFonts w:asciiTheme="majorHAnsi" w:hAnsiTheme="majorHAnsi" w:cstheme="majorHAnsi"/>
        </w:rPr>
      </w:pPr>
    </w:p>
    <w:p w14:paraId="0285BEBF" w14:textId="77777777" w:rsidR="005F3EFC" w:rsidRDefault="005F3EFC">
      <w:pPr>
        <w:rPr>
          <w:rFonts w:asciiTheme="majorHAnsi" w:hAnsiTheme="majorHAnsi" w:cstheme="majorHAnsi"/>
        </w:rPr>
      </w:pPr>
    </w:p>
    <w:p w14:paraId="147CD548" w14:textId="77777777" w:rsidR="005F3EFC" w:rsidRDefault="005F3EFC">
      <w:pPr>
        <w:rPr>
          <w:rFonts w:asciiTheme="majorHAnsi" w:hAnsiTheme="majorHAnsi" w:cstheme="majorHAnsi"/>
        </w:rPr>
      </w:pPr>
    </w:p>
    <w:p w14:paraId="1D3FD355" w14:textId="77777777" w:rsidR="005F3EFC" w:rsidRDefault="005F3EFC">
      <w:pPr>
        <w:rPr>
          <w:rFonts w:asciiTheme="majorHAnsi" w:hAnsiTheme="majorHAnsi" w:cstheme="majorHAnsi"/>
        </w:rPr>
      </w:pPr>
    </w:p>
    <w:p w14:paraId="3D7CC87D" w14:textId="77777777" w:rsidR="005F3EFC" w:rsidRDefault="005F3EFC">
      <w:pPr>
        <w:rPr>
          <w:rFonts w:asciiTheme="majorHAnsi" w:hAnsiTheme="majorHAnsi" w:cstheme="majorHAnsi"/>
        </w:rPr>
      </w:pPr>
    </w:p>
    <w:p w14:paraId="442653BC" w14:textId="77777777" w:rsidR="005F3EFC" w:rsidRDefault="005F3EFC">
      <w:pPr>
        <w:rPr>
          <w:rFonts w:asciiTheme="majorHAnsi" w:hAnsiTheme="majorHAnsi" w:cstheme="majorHAnsi"/>
        </w:rPr>
      </w:pPr>
    </w:p>
    <w:p w14:paraId="47500B03" w14:textId="77777777" w:rsidR="005F3EFC" w:rsidRDefault="005F3EFC">
      <w:pPr>
        <w:rPr>
          <w:rFonts w:asciiTheme="majorHAnsi" w:hAnsiTheme="majorHAnsi" w:cstheme="majorHAnsi"/>
        </w:rPr>
      </w:pPr>
    </w:p>
    <w:p w14:paraId="17DBCE36" w14:textId="77777777" w:rsidR="005F3EFC" w:rsidRDefault="005F3EFC">
      <w:pPr>
        <w:rPr>
          <w:rFonts w:asciiTheme="majorHAnsi" w:hAnsiTheme="majorHAnsi" w:cstheme="majorHAnsi"/>
        </w:rPr>
      </w:pPr>
    </w:p>
    <w:p w14:paraId="3C8D65D7" w14:textId="00B6EE80" w:rsidR="005F3EFC" w:rsidRPr="005F3EFC" w:rsidRDefault="005F3EFC">
      <w:pPr>
        <w:rPr>
          <w:rFonts w:asciiTheme="majorHAnsi" w:hAnsiTheme="majorHAnsi" w:cstheme="majorHAnsi"/>
          <w:b/>
          <w:bCs/>
        </w:rPr>
      </w:pPr>
      <w:r w:rsidRPr="005F3EFC">
        <w:rPr>
          <w:rFonts w:asciiTheme="majorHAnsi" w:hAnsiTheme="majorHAnsi" w:cstheme="majorHAnsi"/>
          <w:b/>
          <w:bCs/>
        </w:rPr>
        <w:t>SIDP Vancomycin Toolkit Taskforce</w:t>
      </w:r>
    </w:p>
    <w:p w14:paraId="04E84F37" w14:textId="5F33929F" w:rsidR="005F3EFC" w:rsidRDefault="005F3EFC">
      <w:pPr>
        <w:rPr>
          <w:rFonts w:asciiTheme="majorHAnsi" w:hAnsiTheme="majorHAnsi" w:cstheme="majorHAnsi"/>
        </w:rPr>
      </w:pPr>
    </w:p>
    <w:p w14:paraId="588CD873" w14:textId="047070B0" w:rsidR="005F3EFC" w:rsidRDefault="005F3EFC">
      <w:pPr>
        <w:rPr>
          <w:rFonts w:asciiTheme="majorHAnsi" w:hAnsiTheme="majorHAnsi" w:cstheme="majorHAnsi"/>
        </w:rPr>
      </w:pPr>
      <w:r>
        <w:rPr>
          <w:rFonts w:asciiTheme="majorHAnsi" w:hAnsiTheme="majorHAnsi" w:cstheme="majorHAnsi"/>
        </w:rPr>
        <w:t>Special thanks to the following SIDP members for volunteering their time and efforts to the development of this toolkit:</w:t>
      </w:r>
    </w:p>
    <w:p w14:paraId="689FCC7A" w14:textId="77777777" w:rsidR="005F3EFC" w:rsidRDefault="005F3EFC">
      <w:pPr>
        <w:rPr>
          <w:rFonts w:asciiTheme="majorHAnsi" w:hAnsiTheme="majorHAnsi" w:cs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F3EFC" w14:paraId="08EE81CC" w14:textId="77777777" w:rsidTr="005F3EFC">
        <w:tc>
          <w:tcPr>
            <w:tcW w:w="4675" w:type="dxa"/>
          </w:tcPr>
          <w:p w14:paraId="5512EEDC" w14:textId="77777777" w:rsidR="005F3EFC" w:rsidRDefault="005F3EFC" w:rsidP="005F3EFC">
            <w:pPr>
              <w:rPr>
                <w:rFonts w:asciiTheme="majorHAnsi" w:hAnsiTheme="majorHAnsi" w:cstheme="majorHAnsi"/>
              </w:rPr>
            </w:pPr>
            <w:r>
              <w:rPr>
                <w:rFonts w:asciiTheme="majorHAnsi" w:hAnsiTheme="majorHAnsi" w:cstheme="majorHAnsi"/>
              </w:rPr>
              <w:t>Emily Heil</w:t>
            </w:r>
          </w:p>
          <w:p w14:paraId="5262401E" w14:textId="39185343" w:rsidR="005F3EFC" w:rsidRDefault="005F3EFC" w:rsidP="005F3EFC">
            <w:pPr>
              <w:rPr>
                <w:rFonts w:asciiTheme="majorHAnsi" w:hAnsiTheme="majorHAnsi" w:cstheme="majorHAnsi"/>
              </w:rPr>
            </w:pPr>
            <w:r>
              <w:rPr>
                <w:rFonts w:asciiTheme="majorHAnsi" w:hAnsiTheme="majorHAnsi" w:cstheme="majorHAnsi"/>
              </w:rPr>
              <w:t>Erin McCreary</w:t>
            </w:r>
          </w:p>
          <w:p w14:paraId="753F09D4" w14:textId="16BD3C06" w:rsidR="00B56C7C" w:rsidRDefault="00B56C7C" w:rsidP="005F3EFC">
            <w:pPr>
              <w:rPr>
                <w:rFonts w:asciiTheme="majorHAnsi" w:hAnsiTheme="majorHAnsi" w:cstheme="majorHAnsi"/>
              </w:rPr>
            </w:pPr>
            <w:r>
              <w:rPr>
                <w:rFonts w:asciiTheme="majorHAnsi" w:hAnsiTheme="majorHAnsi" w:cstheme="majorHAnsi"/>
              </w:rPr>
              <w:t>Jason Pogue</w:t>
            </w:r>
          </w:p>
          <w:p w14:paraId="1E42A2B5" w14:textId="77777777" w:rsidR="005F3EFC" w:rsidRDefault="005F3EFC" w:rsidP="005F3EFC">
            <w:pPr>
              <w:rPr>
                <w:rFonts w:asciiTheme="majorHAnsi" w:hAnsiTheme="majorHAnsi" w:cstheme="majorHAnsi"/>
              </w:rPr>
            </w:pPr>
            <w:r>
              <w:rPr>
                <w:rFonts w:asciiTheme="majorHAnsi" w:hAnsiTheme="majorHAnsi" w:cstheme="majorHAnsi"/>
              </w:rPr>
              <w:t>Brian Raux</w:t>
            </w:r>
          </w:p>
          <w:p w14:paraId="7D68AB21" w14:textId="77777777" w:rsidR="005F3EFC" w:rsidRDefault="005F3EFC" w:rsidP="005F3EFC">
            <w:pPr>
              <w:rPr>
                <w:rFonts w:asciiTheme="majorHAnsi" w:hAnsiTheme="majorHAnsi" w:cstheme="majorHAnsi"/>
              </w:rPr>
            </w:pPr>
            <w:r>
              <w:rPr>
                <w:rFonts w:asciiTheme="majorHAnsi" w:hAnsiTheme="majorHAnsi" w:cstheme="majorHAnsi"/>
              </w:rPr>
              <w:t>Bryan White</w:t>
            </w:r>
          </w:p>
          <w:p w14:paraId="337A05BA" w14:textId="77777777" w:rsidR="005F3EFC" w:rsidRDefault="005F3EFC" w:rsidP="005F3EFC">
            <w:pPr>
              <w:rPr>
                <w:rFonts w:asciiTheme="majorHAnsi" w:hAnsiTheme="majorHAnsi" w:cstheme="majorHAnsi"/>
              </w:rPr>
            </w:pPr>
            <w:r>
              <w:rPr>
                <w:rFonts w:asciiTheme="majorHAnsi" w:hAnsiTheme="majorHAnsi" w:cstheme="majorHAnsi"/>
              </w:rPr>
              <w:t>Jamie Kisgen</w:t>
            </w:r>
          </w:p>
          <w:p w14:paraId="6B3A8A68" w14:textId="77777777" w:rsidR="005F3EFC" w:rsidRDefault="005F3EFC" w:rsidP="005F3EFC">
            <w:pPr>
              <w:rPr>
                <w:rFonts w:asciiTheme="majorHAnsi" w:hAnsiTheme="majorHAnsi" w:cstheme="majorHAnsi"/>
              </w:rPr>
            </w:pPr>
            <w:r>
              <w:rPr>
                <w:rFonts w:asciiTheme="majorHAnsi" w:hAnsiTheme="majorHAnsi" w:cstheme="majorHAnsi"/>
              </w:rPr>
              <w:t>Kate DeSear</w:t>
            </w:r>
          </w:p>
          <w:p w14:paraId="3FDCAFD1" w14:textId="77777777" w:rsidR="005F3EFC" w:rsidRDefault="005F3EFC" w:rsidP="005F3EFC">
            <w:pPr>
              <w:rPr>
                <w:rFonts w:asciiTheme="majorHAnsi" w:hAnsiTheme="majorHAnsi" w:cstheme="majorHAnsi"/>
              </w:rPr>
            </w:pPr>
            <w:r>
              <w:rPr>
                <w:rFonts w:asciiTheme="majorHAnsi" w:hAnsiTheme="majorHAnsi" w:cstheme="majorHAnsi"/>
              </w:rPr>
              <w:t>Matt Pearsall</w:t>
            </w:r>
          </w:p>
          <w:p w14:paraId="1051BE78" w14:textId="77777777" w:rsidR="005F3EFC" w:rsidRDefault="005F3EFC" w:rsidP="005F3EFC">
            <w:pPr>
              <w:rPr>
                <w:rFonts w:asciiTheme="majorHAnsi" w:hAnsiTheme="majorHAnsi" w:cstheme="majorHAnsi"/>
              </w:rPr>
            </w:pPr>
            <w:r>
              <w:rPr>
                <w:rFonts w:asciiTheme="majorHAnsi" w:hAnsiTheme="majorHAnsi" w:cstheme="majorHAnsi"/>
              </w:rPr>
              <w:t>Seth Housman</w:t>
            </w:r>
          </w:p>
          <w:p w14:paraId="4007FBD4" w14:textId="77777777" w:rsidR="005F3EFC" w:rsidRDefault="005F3EFC">
            <w:pPr>
              <w:rPr>
                <w:rFonts w:asciiTheme="majorHAnsi" w:hAnsiTheme="majorHAnsi" w:cstheme="majorHAnsi"/>
              </w:rPr>
            </w:pPr>
          </w:p>
        </w:tc>
        <w:tc>
          <w:tcPr>
            <w:tcW w:w="4675" w:type="dxa"/>
          </w:tcPr>
          <w:p w14:paraId="386D04C5" w14:textId="77777777" w:rsidR="005F3EFC" w:rsidRDefault="005F3EFC">
            <w:pPr>
              <w:rPr>
                <w:rFonts w:asciiTheme="majorHAnsi" w:hAnsiTheme="majorHAnsi" w:cstheme="majorHAnsi"/>
              </w:rPr>
            </w:pPr>
            <w:r>
              <w:rPr>
                <w:rFonts w:asciiTheme="majorHAnsi" w:hAnsiTheme="majorHAnsi" w:cstheme="majorHAnsi"/>
              </w:rPr>
              <w:t>Victoria Adams</w:t>
            </w:r>
          </w:p>
          <w:p w14:paraId="3E003DFE" w14:textId="77777777" w:rsidR="005F3EFC" w:rsidRDefault="005F3EFC">
            <w:pPr>
              <w:rPr>
                <w:rFonts w:asciiTheme="majorHAnsi" w:hAnsiTheme="majorHAnsi" w:cstheme="majorHAnsi"/>
              </w:rPr>
            </w:pPr>
            <w:r>
              <w:rPr>
                <w:rFonts w:asciiTheme="majorHAnsi" w:hAnsiTheme="majorHAnsi" w:cstheme="majorHAnsi"/>
              </w:rPr>
              <w:t>Emi Minejima</w:t>
            </w:r>
          </w:p>
          <w:p w14:paraId="5130CA4D" w14:textId="77777777" w:rsidR="005F3EFC" w:rsidRDefault="005F3EFC">
            <w:pPr>
              <w:rPr>
                <w:rFonts w:asciiTheme="majorHAnsi" w:hAnsiTheme="majorHAnsi" w:cstheme="majorHAnsi"/>
              </w:rPr>
            </w:pPr>
            <w:r>
              <w:rPr>
                <w:rFonts w:asciiTheme="majorHAnsi" w:hAnsiTheme="majorHAnsi" w:cstheme="majorHAnsi"/>
              </w:rPr>
              <w:t>Eric Gregory</w:t>
            </w:r>
          </w:p>
          <w:p w14:paraId="4BEF7661" w14:textId="77777777" w:rsidR="005F3EFC" w:rsidRDefault="005F3EFC">
            <w:pPr>
              <w:rPr>
                <w:rFonts w:asciiTheme="majorHAnsi" w:hAnsiTheme="majorHAnsi" w:cstheme="majorHAnsi"/>
              </w:rPr>
            </w:pPr>
            <w:r>
              <w:rPr>
                <w:rFonts w:asciiTheme="majorHAnsi" w:hAnsiTheme="majorHAnsi" w:cstheme="majorHAnsi"/>
              </w:rPr>
              <w:t>Ethan Smith</w:t>
            </w:r>
          </w:p>
          <w:p w14:paraId="3AAFE395" w14:textId="77777777" w:rsidR="005F3EFC" w:rsidRDefault="005F3EFC">
            <w:pPr>
              <w:rPr>
                <w:rFonts w:asciiTheme="majorHAnsi" w:hAnsiTheme="majorHAnsi" w:cstheme="majorHAnsi"/>
              </w:rPr>
            </w:pPr>
            <w:r>
              <w:rPr>
                <w:rFonts w:asciiTheme="majorHAnsi" w:hAnsiTheme="majorHAnsi" w:cstheme="majorHAnsi"/>
              </w:rPr>
              <w:t>Maggie Monogue</w:t>
            </w:r>
          </w:p>
          <w:p w14:paraId="58C2DD57" w14:textId="77777777" w:rsidR="005F3EFC" w:rsidRDefault="005F3EFC">
            <w:pPr>
              <w:rPr>
                <w:rFonts w:asciiTheme="majorHAnsi" w:hAnsiTheme="majorHAnsi" w:cstheme="majorHAnsi"/>
              </w:rPr>
            </w:pPr>
            <w:r>
              <w:rPr>
                <w:rFonts w:asciiTheme="majorHAnsi" w:hAnsiTheme="majorHAnsi" w:cstheme="majorHAnsi"/>
              </w:rPr>
              <w:t>Ryan Mynatt</w:t>
            </w:r>
          </w:p>
          <w:p w14:paraId="3EFDD807" w14:textId="77777777" w:rsidR="005F3EFC" w:rsidRDefault="005F3EFC">
            <w:pPr>
              <w:rPr>
                <w:rFonts w:asciiTheme="majorHAnsi" w:hAnsiTheme="majorHAnsi" w:cstheme="majorHAnsi"/>
              </w:rPr>
            </w:pPr>
            <w:r>
              <w:rPr>
                <w:rFonts w:asciiTheme="majorHAnsi" w:hAnsiTheme="majorHAnsi" w:cstheme="majorHAnsi"/>
              </w:rPr>
              <w:t>Wesley Kufel</w:t>
            </w:r>
          </w:p>
          <w:p w14:paraId="0D54CAA3" w14:textId="25F34551" w:rsidR="005F3EFC" w:rsidRDefault="005F3EFC">
            <w:pPr>
              <w:rPr>
                <w:rFonts w:asciiTheme="majorHAnsi" w:hAnsiTheme="majorHAnsi" w:cstheme="majorHAnsi"/>
              </w:rPr>
            </w:pPr>
            <w:r>
              <w:rPr>
                <w:rFonts w:asciiTheme="majorHAnsi" w:hAnsiTheme="majorHAnsi" w:cstheme="majorHAnsi"/>
              </w:rPr>
              <w:t>Yewande Dayo</w:t>
            </w:r>
          </w:p>
        </w:tc>
      </w:tr>
    </w:tbl>
    <w:p w14:paraId="69537871" w14:textId="77777777" w:rsidR="005F3EFC" w:rsidRDefault="005F3EFC">
      <w:pPr>
        <w:rPr>
          <w:rFonts w:asciiTheme="majorHAnsi" w:hAnsiTheme="majorHAnsi" w:cstheme="majorHAnsi"/>
        </w:rPr>
      </w:pPr>
    </w:p>
    <w:p w14:paraId="72B2F087" w14:textId="55C2707D" w:rsidR="005F3EFC" w:rsidRDefault="005F3EFC">
      <w:pPr>
        <w:rPr>
          <w:rFonts w:asciiTheme="majorHAnsi" w:hAnsiTheme="majorHAnsi" w:cstheme="majorHAnsi"/>
        </w:rPr>
      </w:pPr>
    </w:p>
    <w:p w14:paraId="72F0E380" w14:textId="77777777" w:rsidR="005F3EFC" w:rsidRDefault="005F3EFC">
      <w:pPr>
        <w:rPr>
          <w:rFonts w:asciiTheme="majorHAnsi" w:hAnsiTheme="majorHAnsi" w:cstheme="majorHAnsi"/>
        </w:rPr>
      </w:pPr>
    </w:p>
    <w:p w14:paraId="06486BE7" w14:textId="77777777" w:rsidR="005F3EFC" w:rsidRDefault="005F3EFC">
      <w:pPr>
        <w:rPr>
          <w:rFonts w:asciiTheme="majorHAnsi" w:hAnsiTheme="majorHAnsi" w:cstheme="majorHAnsi"/>
        </w:rPr>
      </w:pPr>
    </w:p>
    <w:p w14:paraId="3E388CD4" w14:textId="77777777" w:rsidR="005F3EFC" w:rsidRDefault="005F3EFC">
      <w:pPr>
        <w:rPr>
          <w:rFonts w:asciiTheme="majorHAnsi" w:hAnsiTheme="majorHAnsi" w:cstheme="majorHAnsi"/>
        </w:rPr>
      </w:pPr>
    </w:p>
    <w:p w14:paraId="245D1A7A" w14:textId="77777777" w:rsidR="005F3EFC" w:rsidRDefault="005F3EFC">
      <w:pPr>
        <w:rPr>
          <w:rFonts w:asciiTheme="majorHAnsi" w:hAnsiTheme="majorHAnsi" w:cstheme="majorHAnsi"/>
        </w:rPr>
      </w:pPr>
    </w:p>
    <w:p w14:paraId="434C7F7B" w14:textId="77777777" w:rsidR="005F3EFC" w:rsidRDefault="005F3EFC">
      <w:pPr>
        <w:rPr>
          <w:rFonts w:asciiTheme="majorHAnsi" w:hAnsiTheme="majorHAnsi" w:cstheme="majorHAnsi"/>
        </w:rPr>
      </w:pPr>
    </w:p>
    <w:p w14:paraId="2C6840B3" w14:textId="769F480D" w:rsidR="005F3EFC" w:rsidRDefault="005F3EFC">
      <w:pPr>
        <w:rPr>
          <w:rFonts w:asciiTheme="majorHAnsi" w:hAnsiTheme="majorHAnsi" w:cstheme="majorHAnsi"/>
        </w:rPr>
      </w:pPr>
    </w:p>
    <w:p w14:paraId="579C086B" w14:textId="17FBC7B7" w:rsidR="00F74B49" w:rsidRDefault="00F74B49">
      <w:pPr>
        <w:rPr>
          <w:rFonts w:asciiTheme="majorHAnsi" w:hAnsiTheme="majorHAnsi" w:cstheme="majorHAnsi"/>
        </w:rPr>
      </w:pPr>
    </w:p>
    <w:p w14:paraId="31297EF7" w14:textId="1FF88826" w:rsidR="00F74B49" w:rsidRDefault="00F74B49">
      <w:pPr>
        <w:rPr>
          <w:rFonts w:asciiTheme="majorHAnsi" w:hAnsiTheme="majorHAnsi" w:cstheme="majorHAnsi"/>
        </w:rPr>
      </w:pPr>
    </w:p>
    <w:p w14:paraId="1C8BD90C" w14:textId="3C126086" w:rsidR="00F74B49" w:rsidRDefault="00F74B49">
      <w:pPr>
        <w:rPr>
          <w:rFonts w:asciiTheme="majorHAnsi" w:hAnsiTheme="majorHAnsi" w:cstheme="majorHAnsi"/>
        </w:rPr>
      </w:pPr>
    </w:p>
    <w:p w14:paraId="280DD33E" w14:textId="356DADD7" w:rsidR="00F74B49" w:rsidRDefault="00F74B49">
      <w:pPr>
        <w:rPr>
          <w:rFonts w:asciiTheme="majorHAnsi" w:hAnsiTheme="majorHAnsi" w:cstheme="majorHAnsi"/>
        </w:rPr>
      </w:pPr>
    </w:p>
    <w:p w14:paraId="4BB2F369" w14:textId="2B30E8F9" w:rsidR="00F74B49" w:rsidRDefault="00F74B49">
      <w:pPr>
        <w:rPr>
          <w:rFonts w:asciiTheme="majorHAnsi" w:hAnsiTheme="majorHAnsi" w:cstheme="majorHAnsi"/>
        </w:rPr>
      </w:pPr>
    </w:p>
    <w:p w14:paraId="0E666C88" w14:textId="0A5E493E" w:rsidR="00F74B49" w:rsidRDefault="00F74B49">
      <w:pPr>
        <w:rPr>
          <w:rFonts w:asciiTheme="majorHAnsi" w:hAnsiTheme="majorHAnsi" w:cstheme="majorHAnsi"/>
        </w:rPr>
      </w:pPr>
    </w:p>
    <w:p w14:paraId="3CF5E584" w14:textId="5C6A71EA" w:rsidR="00F74B49" w:rsidRDefault="00F74B49">
      <w:pPr>
        <w:rPr>
          <w:rFonts w:asciiTheme="majorHAnsi" w:hAnsiTheme="majorHAnsi" w:cstheme="majorHAnsi"/>
        </w:rPr>
      </w:pPr>
    </w:p>
    <w:p w14:paraId="7AA11058" w14:textId="77777777" w:rsidR="00F74B49" w:rsidRDefault="00F74B49">
      <w:pPr>
        <w:rPr>
          <w:rFonts w:asciiTheme="majorHAnsi" w:hAnsiTheme="majorHAnsi" w:cstheme="majorHAnsi"/>
        </w:rPr>
      </w:pPr>
    </w:p>
    <w:p w14:paraId="6C2C4C84" w14:textId="77777777" w:rsidR="005F3EFC" w:rsidRDefault="005F3EFC">
      <w:pPr>
        <w:rPr>
          <w:rFonts w:asciiTheme="majorHAnsi" w:hAnsiTheme="majorHAnsi" w:cstheme="majorHAnsi"/>
        </w:rPr>
      </w:pPr>
    </w:p>
    <w:p w14:paraId="307F62BE" w14:textId="3B790BBB" w:rsidR="00F74B49" w:rsidRDefault="00F74B49" w:rsidP="00B56C7C">
      <w:pPr>
        <w:pStyle w:val="Heading1"/>
        <w:rPr>
          <w:rFonts w:asciiTheme="majorHAnsi" w:hAnsiTheme="majorHAnsi" w:cstheme="majorHAnsi"/>
          <w:sz w:val="22"/>
          <w:szCs w:val="22"/>
        </w:rPr>
      </w:pPr>
    </w:p>
    <w:p w14:paraId="2DC3C85F" w14:textId="77777777" w:rsidR="001F5BE7" w:rsidRPr="001F5BE7" w:rsidRDefault="001F5BE7" w:rsidP="001F5BE7"/>
    <w:p w14:paraId="45E460CC" w14:textId="17AF05D4" w:rsidR="002A324C" w:rsidRPr="005F3EFC" w:rsidRDefault="00681130" w:rsidP="00B56C7C">
      <w:pPr>
        <w:pStyle w:val="Heading1"/>
        <w:rPr>
          <w:rFonts w:asciiTheme="majorHAnsi" w:hAnsiTheme="majorHAnsi" w:cstheme="majorHAnsi"/>
          <w:b/>
          <w:bCs/>
        </w:rPr>
      </w:pPr>
      <w:bookmarkStart w:id="0" w:name="_Toc63242821"/>
      <w:r w:rsidRPr="005F3EFC">
        <w:rPr>
          <w:rFonts w:asciiTheme="majorHAnsi" w:hAnsiTheme="majorHAnsi" w:cstheme="majorHAnsi"/>
          <w:b/>
          <w:bCs/>
        </w:rPr>
        <w:lastRenderedPageBreak/>
        <w:t xml:space="preserve">Background of AUC-Guided </w:t>
      </w:r>
      <w:r w:rsidR="005F3EFC">
        <w:rPr>
          <w:rFonts w:asciiTheme="majorHAnsi" w:hAnsiTheme="majorHAnsi" w:cstheme="majorHAnsi"/>
          <w:b/>
          <w:bCs/>
        </w:rPr>
        <w:t xml:space="preserve">Vancomycin </w:t>
      </w:r>
      <w:r w:rsidRPr="005F3EFC">
        <w:rPr>
          <w:rFonts w:asciiTheme="majorHAnsi" w:hAnsiTheme="majorHAnsi" w:cstheme="majorHAnsi"/>
          <w:b/>
          <w:bCs/>
        </w:rPr>
        <w:t>Dosing</w:t>
      </w:r>
      <w:bookmarkEnd w:id="0"/>
    </w:p>
    <w:p w14:paraId="656251B7" w14:textId="480153E8" w:rsidR="002A324C" w:rsidRPr="005F3EFC" w:rsidRDefault="00681130">
      <w:pPr>
        <w:rPr>
          <w:rFonts w:asciiTheme="majorHAnsi" w:hAnsiTheme="majorHAnsi" w:cstheme="majorHAnsi"/>
        </w:rPr>
      </w:pPr>
      <w:r w:rsidRPr="005F3EFC">
        <w:rPr>
          <w:rFonts w:asciiTheme="majorHAnsi" w:hAnsiTheme="majorHAnsi" w:cstheme="majorHAnsi"/>
        </w:rPr>
        <w:t xml:space="preserve">Vancomycin is a glycopeptide antibiotic used for empiric and definitive treatment of gram-positive infections, including methicillin-resistant </w:t>
      </w:r>
      <w:r w:rsidRPr="005F3EFC">
        <w:rPr>
          <w:rFonts w:asciiTheme="majorHAnsi" w:hAnsiTheme="majorHAnsi" w:cstheme="majorHAnsi"/>
          <w:i/>
        </w:rPr>
        <w:t>Staphylococcus aureus</w:t>
      </w:r>
      <w:r w:rsidRPr="005F3EFC">
        <w:rPr>
          <w:rFonts w:asciiTheme="majorHAnsi" w:hAnsiTheme="majorHAnsi" w:cstheme="majorHAnsi"/>
        </w:rPr>
        <w:t xml:space="preserve"> (MRSA). Vancomycin requires therapeutic drug monitoring due to its narrow therapeutic index. The vancomycin pharmacokinetic/pharmacodynamic (PK/PD) parameter best correlated with efficacy is area under the curve (AUC)</w:t>
      </w:r>
      <w:r w:rsidR="002B3F15">
        <w:rPr>
          <w:rFonts w:asciiTheme="majorHAnsi" w:hAnsiTheme="majorHAnsi" w:cstheme="majorHAnsi"/>
        </w:rPr>
        <w:t xml:space="preserve"> to minimum inhibitory concentration (MIC)</w:t>
      </w:r>
      <w:r w:rsidRPr="005F3EFC">
        <w:rPr>
          <w:rFonts w:asciiTheme="majorHAnsi" w:hAnsiTheme="majorHAnsi" w:cstheme="majorHAnsi"/>
        </w:rPr>
        <w:t>. Clinical evidence suggests an AUC</w:t>
      </w:r>
      <w:r w:rsidR="002B3F15">
        <w:rPr>
          <w:rFonts w:asciiTheme="majorHAnsi" w:hAnsiTheme="majorHAnsi" w:cstheme="majorHAnsi"/>
        </w:rPr>
        <w:t>/MIC</w:t>
      </w:r>
      <w:r w:rsidRPr="005F3EFC">
        <w:rPr>
          <w:rFonts w:asciiTheme="majorHAnsi" w:hAnsiTheme="majorHAnsi" w:cstheme="majorHAnsi"/>
        </w:rPr>
        <w:t xml:space="preserve"> greater than 400 mcg*h/mL decreases treatment failure, especially when this threshold is reached within the first 24-48 hours of therapy for deep-seated and severe methicillin-resistant </w:t>
      </w:r>
      <w:r w:rsidRPr="005F3EFC">
        <w:rPr>
          <w:rFonts w:asciiTheme="majorHAnsi" w:hAnsiTheme="majorHAnsi" w:cstheme="majorHAnsi"/>
          <w:i/>
        </w:rPr>
        <w:t>S. aureus</w:t>
      </w:r>
      <w:r w:rsidRPr="005F3EFC">
        <w:rPr>
          <w:rFonts w:asciiTheme="majorHAnsi" w:hAnsiTheme="majorHAnsi" w:cstheme="majorHAnsi"/>
        </w:rPr>
        <w:t xml:space="preserve"> (MRSA) infections (Lodise 2014).</w:t>
      </w:r>
      <w:r w:rsidR="002B3F15">
        <w:rPr>
          <w:rFonts w:asciiTheme="majorHAnsi" w:hAnsiTheme="majorHAnsi" w:cstheme="majorHAnsi"/>
        </w:rPr>
        <w:t xml:space="preserve"> </w:t>
      </w:r>
      <w:r w:rsidRPr="005F3EFC">
        <w:rPr>
          <w:rFonts w:asciiTheme="majorHAnsi" w:hAnsiTheme="majorHAnsi" w:cstheme="majorHAnsi"/>
        </w:rPr>
        <w:t xml:space="preserve">Trough concentrations were previously used as surrogates for AUC &gt; 400 mcg*h/mL; however, troughs accurately predicted a patient’s AUC only 75% of the time and frequently led to supratherapeutic AUCs. Instead, calculating AUC based on first-order PK equations or with Bayesian modeling may accurately predict a patient’s true AUC </w:t>
      </w:r>
      <w:r w:rsidR="002B3F15">
        <w:rPr>
          <w:rFonts w:asciiTheme="majorHAnsi" w:hAnsiTheme="majorHAnsi" w:cstheme="majorHAnsi"/>
        </w:rPr>
        <w:t>over 97</w:t>
      </w:r>
      <w:r w:rsidRPr="005F3EFC">
        <w:rPr>
          <w:rFonts w:asciiTheme="majorHAnsi" w:hAnsiTheme="majorHAnsi" w:cstheme="majorHAnsi"/>
        </w:rPr>
        <w:t xml:space="preserve">% of the time (Neely 2014). Furthermore, trough concentrations greater than 15 mcg/mL are correlated with increased vancomycin-associated acute kidney injury (AKI) (Bosso 2011; van Hal SJ 2013). When using AUC-based dosing, AUC </w:t>
      </w:r>
      <w:r w:rsidR="002B3F15">
        <w:rPr>
          <w:rFonts w:asciiTheme="majorHAnsi" w:hAnsiTheme="majorHAnsi" w:cstheme="majorHAnsi"/>
        </w:rPr>
        <w:t xml:space="preserve">values </w:t>
      </w:r>
      <w:r w:rsidRPr="005F3EFC">
        <w:rPr>
          <w:rFonts w:asciiTheme="majorHAnsi" w:hAnsiTheme="majorHAnsi" w:cstheme="majorHAnsi"/>
        </w:rPr>
        <w:t xml:space="preserve">less than ~600 mcg*h/mL </w:t>
      </w:r>
      <w:r w:rsidR="002B3F15">
        <w:rPr>
          <w:rFonts w:asciiTheme="majorHAnsi" w:hAnsiTheme="majorHAnsi" w:cstheme="majorHAnsi"/>
        </w:rPr>
        <w:t>are</w:t>
      </w:r>
      <w:r w:rsidRPr="005F3EFC">
        <w:rPr>
          <w:rFonts w:asciiTheme="majorHAnsi" w:hAnsiTheme="majorHAnsi" w:cstheme="majorHAnsi"/>
        </w:rPr>
        <w:t xml:space="preserve"> associated with decreased </w:t>
      </w:r>
      <w:r w:rsidR="001A5566">
        <w:rPr>
          <w:rFonts w:asciiTheme="majorHAnsi" w:hAnsiTheme="majorHAnsi" w:cstheme="majorHAnsi"/>
        </w:rPr>
        <w:t>rates of acute kidney injury</w:t>
      </w:r>
      <w:r w:rsidRPr="005F3EFC">
        <w:rPr>
          <w:rFonts w:asciiTheme="majorHAnsi" w:hAnsiTheme="majorHAnsi" w:cstheme="majorHAnsi"/>
        </w:rPr>
        <w:t xml:space="preserve"> (Aljefri DM 2019, Suzuki Y 2012). For this reason, consensus guidelines now recommend AUC-dosing and monitoring of vancomycin as the preferred approach to achieve clinical efficacy and improve safety</w:t>
      </w:r>
      <w:r w:rsidR="001A5566">
        <w:rPr>
          <w:rFonts w:asciiTheme="majorHAnsi" w:hAnsiTheme="majorHAnsi" w:cstheme="majorHAnsi"/>
        </w:rPr>
        <w:t xml:space="preserve"> (Rybak 2020)</w:t>
      </w:r>
      <w:r w:rsidRPr="005F3EFC">
        <w:rPr>
          <w:rFonts w:asciiTheme="majorHAnsi" w:hAnsiTheme="majorHAnsi" w:cstheme="majorHAnsi"/>
        </w:rPr>
        <w:t>.</w:t>
      </w:r>
    </w:p>
    <w:p w14:paraId="07E5D0FF" w14:textId="77777777" w:rsidR="002A324C" w:rsidRPr="005F3EFC" w:rsidRDefault="002A324C">
      <w:pPr>
        <w:spacing w:before="240" w:after="240"/>
        <w:rPr>
          <w:rFonts w:asciiTheme="majorHAnsi" w:hAnsiTheme="majorHAnsi" w:cstheme="majorHAnsi"/>
        </w:rPr>
      </w:pPr>
    </w:p>
    <w:p w14:paraId="075B7115" w14:textId="77777777" w:rsidR="005F3EFC" w:rsidRDefault="005F3EFC">
      <w:pPr>
        <w:rPr>
          <w:rFonts w:asciiTheme="majorHAnsi" w:hAnsiTheme="majorHAnsi" w:cstheme="majorHAnsi"/>
        </w:rPr>
      </w:pPr>
    </w:p>
    <w:p w14:paraId="5FEB8661" w14:textId="77777777" w:rsidR="005F3EFC" w:rsidRDefault="005F3EFC">
      <w:pPr>
        <w:rPr>
          <w:rFonts w:asciiTheme="majorHAnsi" w:hAnsiTheme="majorHAnsi" w:cstheme="majorHAnsi"/>
        </w:rPr>
      </w:pPr>
    </w:p>
    <w:p w14:paraId="3277A7F4" w14:textId="68E5014A" w:rsidR="005F3EFC" w:rsidRPr="0045744D" w:rsidRDefault="0045744D">
      <w:pPr>
        <w:rPr>
          <w:rFonts w:asciiTheme="majorHAnsi" w:hAnsiTheme="majorHAnsi" w:cstheme="majorHAnsi"/>
          <w:b/>
        </w:rPr>
      </w:pPr>
      <w:r w:rsidRPr="0045744D">
        <w:rPr>
          <w:rFonts w:asciiTheme="majorHAnsi" w:hAnsiTheme="majorHAnsi" w:cstheme="majorHAnsi"/>
          <w:b/>
        </w:rPr>
        <w:t>Implementation Considerations:</w:t>
      </w:r>
    </w:p>
    <w:p w14:paraId="346F724A" w14:textId="4A7C54C8" w:rsidR="0045744D" w:rsidRDefault="0045744D">
      <w:pPr>
        <w:rPr>
          <w:rFonts w:asciiTheme="majorHAnsi" w:hAnsiTheme="majorHAnsi" w:cstheme="majorHAnsi"/>
        </w:rPr>
      </w:pPr>
      <w:r>
        <w:rPr>
          <w:rFonts w:asciiTheme="majorHAnsi" w:hAnsiTheme="majorHAnsi" w:cstheme="majorHAnsi"/>
        </w:rPr>
        <w:t>Each institution should address the following when adapting this guideline for local use:</w:t>
      </w:r>
    </w:p>
    <w:p w14:paraId="2CE7FDCE" w14:textId="78450F51" w:rsidR="0045744D" w:rsidRPr="0045744D" w:rsidRDefault="0045744D" w:rsidP="0045744D">
      <w:pPr>
        <w:pStyle w:val="CommentText"/>
        <w:numPr>
          <w:ilvl w:val="0"/>
          <w:numId w:val="19"/>
        </w:numPr>
        <w:rPr>
          <w:rFonts w:asciiTheme="majorHAnsi" w:hAnsiTheme="majorHAnsi" w:cstheme="majorHAnsi"/>
          <w:sz w:val="22"/>
          <w:szCs w:val="22"/>
        </w:rPr>
      </w:pPr>
      <w:r>
        <w:rPr>
          <w:rFonts w:asciiTheme="majorHAnsi" w:hAnsiTheme="majorHAnsi" w:cstheme="majorHAnsi"/>
          <w:sz w:val="22"/>
          <w:szCs w:val="22"/>
        </w:rPr>
        <w:t>If this is to be adapted as a protocol for pharmacists to dose and manage, how will the protocol be initiated and who can execute the protocol?</w:t>
      </w:r>
    </w:p>
    <w:p w14:paraId="3E92A633" w14:textId="3AC58EBA" w:rsidR="0045744D" w:rsidRPr="0045744D" w:rsidRDefault="0045744D" w:rsidP="0045744D">
      <w:pPr>
        <w:pStyle w:val="CommentText"/>
        <w:numPr>
          <w:ilvl w:val="0"/>
          <w:numId w:val="19"/>
        </w:numPr>
        <w:rPr>
          <w:rFonts w:asciiTheme="majorHAnsi" w:hAnsiTheme="majorHAnsi" w:cstheme="majorHAnsi"/>
          <w:sz w:val="22"/>
          <w:szCs w:val="22"/>
        </w:rPr>
      </w:pPr>
      <w:r>
        <w:rPr>
          <w:rFonts w:asciiTheme="majorHAnsi" w:hAnsiTheme="majorHAnsi" w:cstheme="majorHAnsi"/>
          <w:sz w:val="22"/>
          <w:szCs w:val="22"/>
        </w:rPr>
        <w:t>What p</w:t>
      </w:r>
      <w:r w:rsidRPr="0045744D">
        <w:rPr>
          <w:rFonts w:asciiTheme="majorHAnsi" w:hAnsiTheme="majorHAnsi" w:cstheme="majorHAnsi"/>
          <w:sz w:val="22"/>
          <w:szCs w:val="22"/>
        </w:rPr>
        <w:t>atient populations</w:t>
      </w:r>
      <w:r w:rsidR="002B3F15">
        <w:rPr>
          <w:rFonts w:asciiTheme="majorHAnsi" w:hAnsiTheme="majorHAnsi" w:cstheme="majorHAnsi"/>
          <w:sz w:val="22"/>
          <w:szCs w:val="22"/>
        </w:rPr>
        <w:t xml:space="preserve"> will be</w:t>
      </w:r>
      <w:r w:rsidRPr="0045744D">
        <w:rPr>
          <w:rFonts w:asciiTheme="majorHAnsi" w:hAnsiTheme="majorHAnsi" w:cstheme="majorHAnsi"/>
          <w:sz w:val="22"/>
          <w:szCs w:val="22"/>
        </w:rPr>
        <w:t xml:space="preserve"> included and excluded from protocol</w:t>
      </w:r>
      <w:r>
        <w:rPr>
          <w:rFonts w:asciiTheme="majorHAnsi" w:hAnsiTheme="majorHAnsi" w:cstheme="majorHAnsi"/>
          <w:sz w:val="22"/>
          <w:szCs w:val="22"/>
        </w:rPr>
        <w:t>?</w:t>
      </w:r>
    </w:p>
    <w:p w14:paraId="1AFEB6CA" w14:textId="4FCC1F1D" w:rsidR="0045744D" w:rsidRPr="0045744D" w:rsidRDefault="0045744D" w:rsidP="0045744D">
      <w:pPr>
        <w:pStyle w:val="CommentText"/>
        <w:numPr>
          <w:ilvl w:val="0"/>
          <w:numId w:val="19"/>
        </w:numPr>
        <w:rPr>
          <w:rFonts w:asciiTheme="majorHAnsi" w:hAnsiTheme="majorHAnsi" w:cstheme="majorHAnsi"/>
          <w:sz w:val="22"/>
          <w:szCs w:val="22"/>
        </w:rPr>
      </w:pPr>
      <w:r>
        <w:rPr>
          <w:rFonts w:asciiTheme="majorHAnsi" w:hAnsiTheme="majorHAnsi" w:cstheme="majorHAnsi"/>
          <w:sz w:val="22"/>
          <w:szCs w:val="22"/>
        </w:rPr>
        <w:t>What are the requirements for p</w:t>
      </w:r>
      <w:r w:rsidRPr="0045744D">
        <w:rPr>
          <w:rFonts w:asciiTheme="majorHAnsi" w:hAnsiTheme="majorHAnsi" w:cstheme="majorHAnsi"/>
          <w:sz w:val="22"/>
          <w:szCs w:val="22"/>
        </w:rPr>
        <w:t>harmacist documentation</w:t>
      </w:r>
      <w:r>
        <w:rPr>
          <w:rFonts w:asciiTheme="majorHAnsi" w:hAnsiTheme="majorHAnsi" w:cstheme="majorHAnsi"/>
          <w:sz w:val="22"/>
          <w:szCs w:val="22"/>
        </w:rPr>
        <w:t xml:space="preserve"> of dosing and monitoring?</w:t>
      </w:r>
    </w:p>
    <w:p w14:paraId="38B72911" w14:textId="3183E02D" w:rsidR="0045744D" w:rsidRPr="0045744D" w:rsidRDefault="0045744D" w:rsidP="0045744D">
      <w:pPr>
        <w:pStyle w:val="CommentText"/>
        <w:numPr>
          <w:ilvl w:val="0"/>
          <w:numId w:val="19"/>
        </w:numPr>
        <w:rPr>
          <w:rFonts w:asciiTheme="majorHAnsi" w:hAnsiTheme="majorHAnsi" w:cstheme="majorHAnsi"/>
          <w:sz w:val="22"/>
          <w:szCs w:val="22"/>
        </w:rPr>
      </w:pPr>
      <w:r>
        <w:rPr>
          <w:rFonts w:asciiTheme="majorHAnsi" w:hAnsiTheme="majorHAnsi" w:cstheme="majorHAnsi"/>
          <w:sz w:val="22"/>
          <w:szCs w:val="22"/>
        </w:rPr>
        <w:t>How will pharmacists be notified of vancomycin dosing c</w:t>
      </w:r>
      <w:r w:rsidRPr="0045744D">
        <w:rPr>
          <w:rFonts w:asciiTheme="majorHAnsi" w:hAnsiTheme="majorHAnsi" w:cstheme="majorHAnsi"/>
          <w:sz w:val="22"/>
          <w:szCs w:val="22"/>
        </w:rPr>
        <w:t>onsult</w:t>
      </w:r>
      <w:r>
        <w:rPr>
          <w:rFonts w:asciiTheme="majorHAnsi" w:hAnsiTheme="majorHAnsi" w:cstheme="majorHAnsi"/>
          <w:sz w:val="22"/>
          <w:szCs w:val="22"/>
        </w:rPr>
        <w:t>s?</w:t>
      </w:r>
    </w:p>
    <w:p w14:paraId="65AF482A" w14:textId="35EF2204" w:rsidR="0045744D" w:rsidRPr="0045744D" w:rsidRDefault="0045744D" w:rsidP="0045744D">
      <w:pPr>
        <w:pStyle w:val="CommentText"/>
        <w:numPr>
          <w:ilvl w:val="0"/>
          <w:numId w:val="19"/>
        </w:numPr>
        <w:rPr>
          <w:rFonts w:asciiTheme="majorHAnsi" w:hAnsiTheme="majorHAnsi" w:cstheme="majorHAnsi"/>
          <w:sz w:val="22"/>
          <w:szCs w:val="22"/>
        </w:rPr>
      </w:pPr>
      <w:r w:rsidRPr="0045744D">
        <w:rPr>
          <w:rFonts w:asciiTheme="majorHAnsi" w:hAnsiTheme="majorHAnsi" w:cstheme="majorHAnsi"/>
          <w:sz w:val="22"/>
          <w:szCs w:val="22"/>
        </w:rPr>
        <w:t xml:space="preserve">How </w:t>
      </w:r>
      <w:r>
        <w:rPr>
          <w:rFonts w:asciiTheme="majorHAnsi" w:hAnsiTheme="majorHAnsi" w:cstheme="majorHAnsi"/>
          <w:sz w:val="22"/>
          <w:szCs w:val="22"/>
        </w:rPr>
        <w:t xml:space="preserve">are </w:t>
      </w:r>
      <w:r w:rsidRPr="0045744D">
        <w:rPr>
          <w:rFonts w:asciiTheme="majorHAnsi" w:hAnsiTheme="majorHAnsi" w:cstheme="majorHAnsi"/>
          <w:sz w:val="22"/>
          <w:szCs w:val="22"/>
        </w:rPr>
        <w:t>consults terminated</w:t>
      </w:r>
      <w:r>
        <w:rPr>
          <w:rFonts w:asciiTheme="majorHAnsi" w:hAnsiTheme="majorHAnsi" w:cstheme="majorHAnsi"/>
          <w:sz w:val="22"/>
          <w:szCs w:val="22"/>
        </w:rPr>
        <w:t>?</w:t>
      </w:r>
    </w:p>
    <w:p w14:paraId="1AA7A815" w14:textId="29F0AA8C" w:rsidR="0045744D" w:rsidRPr="0045744D" w:rsidRDefault="0045744D" w:rsidP="0045744D">
      <w:pPr>
        <w:pStyle w:val="ListParagraph"/>
        <w:numPr>
          <w:ilvl w:val="0"/>
          <w:numId w:val="19"/>
        </w:numPr>
        <w:rPr>
          <w:rFonts w:asciiTheme="majorHAnsi" w:hAnsiTheme="majorHAnsi" w:cstheme="majorHAnsi"/>
        </w:rPr>
      </w:pPr>
      <w:r>
        <w:rPr>
          <w:rFonts w:asciiTheme="majorHAnsi" w:hAnsiTheme="majorHAnsi" w:cstheme="majorHAnsi"/>
        </w:rPr>
        <w:t>What are p</w:t>
      </w:r>
      <w:r w:rsidRPr="0045744D">
        <w:rPr>
          <w:rFonts w:asciiTheme="majorHAnsi" w:hAnsiTheme="majorHAnsi" w:cstheme="majorHAnsi"/>
        </w:rPr>
        <w:t>atient conditions that should be reported to prescriber/consultant even if within protocol</w:t>
      </w:r>
      <w:r>
        <w:rPr>
          <w:rFonts w:asciiTheme="majorHAnsi" w:hAnsiTheme="majorHAnsi" w:cstheme="majorHAnsi"/>
        </w:rPr>
        <w:t>?</w:t>
      </w:r>
    </w:p>
    <w:p w14:paraId="5F797376" w14:textId="77777777" w:rsidR="005F3EFC" w:rsidRDefault="005F3EFC">
      <w:pPr>
        <w:rPr>
          <w:rFonts w:asciiTheme="majorHAnsi" w:hAnsiTheme="majorHAnsi" w:cstheme="majorHAnsi"/>
        </w:rPr>
      </w:pPr>
    </w:p>
    <w:p w14:paraId="6AD9E29D" w14:textId="77777777" w:rsidR="005F3EFC" w:rsidRDefault="005F3EFC">
      <w:pPr>
        <w:rPr>
          <w:rFonts w:asciiTheme="majorHAnsi" w:hAnsiTheme="majorHAnsi" w:cstheme="majorHAnsi"/>
        </w:rPr>
      </w:pPr>
    </w:p>
    <w:p w14:paraId="3F5A950D" w14:textId="77777777" w:rsidR="005F3EFC" w:rsidRDefault="005F3EFC">
      <w:pPr>
        <w:rPr>
          <w:rFonts w:asciiTheme="majorHAnsi" w:hAnsiTheme="majorHAnsi" w:cstheme="majorHAnsi"/>
        </w:rPr>
      </w:pPr>
    </w:p>
    <w:p w14:paraId="7BD7AC63" w14:textId="10CB83BF" w:rsidR="005F3EFC" w:rsidRDefault="005F3EFC">
      <w:pPr>
        <w:rPr>
          <w:rFonts w:asciiTheme="majorHAnsi" w:hAnsiTheme="majorHAnsi" w:cstheme="majorHAnsi"/>
        </w:rPr>
      </w:pPr>
    </w:p>
    <w:p w14:paraId="0C303260" w14:textId="304CDFF6" w:rsidR="001A5566" w:rsidRPr="00B56C7C" w:rsidRDefault="00B56C7C" w:rsidP="00B56C7C">
      <w:pPr>
        <w:pStyle w:val="Heading1"/>
        <w:rPr>
          <w:rFonts w:asciiTheme="majorHAnsi" w:hAnsiTheme="majorHAnsi" w:cstheme="majorHAnsi"/>
          <w:b/>
          <w:bCs/>
          <w:sz w:val="36"/>
          <w:szCs w:val="36"/>
        </w:rPr>
      </w:pPr>
      <w:bookmarkStart w:id="1" w:name="_Toc63242822"/>
      <w:r w:rsidRPr="00B56C7C">
        <w:rPr>
          <w:rFonts w:asciiTheme="majorHAnsi" w:hAnsiTheme="majorHAnsi" w:cstheme="majorHAnsi"/>
          <w:b/>
          <w:bCs/>
          <w:sz w:val="36"/>
          <w:szCs w:val="36"/>
        </w:rPr>
        <w:lastRenderedPageBreak/>
        <w:t>D</w:t>
      </w:r>
      <w:r w:rsidR="00681130" w:rsidRPr="00B56C7C">
        <w:rPr>
          <w:rFonts w:asciiTheme="majorHAnsi" w:hAnsiTheme="majorHAnsi" w:cstheme="majorHAnsi"/>
          <w:b/>
          <w:bCs/>
          <w:sz w:val="36"/>
          <w:szCs w:val="36"/>
        </w:rPr>
        <w:t>etermining the Vancomycin Dosing Strategy</w:t>
      </w:r>
      <w:bookmarkEnd w:id="1"/>
    </w:p>
    <w:p w14:paraId="17ABAEF6" w14:textId="77777777" w:rsidR="002A324C" w:rsidRPr="00B56C7C" w:rsidRDefault="00681130" w:rsidP="00B56C7C">
      <w:pPr>
        <w:pStyle w:val="Heading2"/>
        <w:rPr>
          <w:rFonts w:asciiTheme="majorHAnsi" w:hAnsiTheme="majorHAnsi" w:cstheme="majorHAnsi"/>
          <w:sz w:val="28"/>
          <w:szCs w:val="28"/>
          <w:u w:val="single"/>
        </w:rPr>
      </w:pPr>
      <w:bookmarkStart w:id="2" w:name="_Toc63242823"/>
      <w:r w:rsidRPr="00B56C7C">
        <w:rPr>
          <w:rFonts w:asciiTheme="majorHAnsi" w:hAnsiTheme="majorHAnsi" w:cstheme="majorHAnsi"/>
          <w:sz w:val="28"/>
          <w:szCs w:val="28"/>
          <w:u w:val="single"/>
        </w:rPr>
        <w:t>Assessment of patient weight and renal function</w:t>
      </w:r>
      <w:bookmarkEnd w:id="2"/>
    </w:p>
    <w:p w14:paraId="3063DC80" w14:textId="362E61A8" w:rsidR="002A324C" w:rsidRPr="005F3EFC" w:rsidRDefault="00681130" w:rsidP="001A5566">
      <w:pPr>
        <w:numPr>
          <w:ilvl w:val="0"/>
          <w:numId w:val="1"/>
        </w:numPr>
        <w:rPr>
          <w:rFonts w:asciiTheme="majorHAnsi" w:hAnsiTheme="majorHAnsi" w:cstheme="majorHAnsi"/>
        </w:rPr>
      </w:pPr>
      <w:r w:rsidRPr="005F3EFC">
        <w:rPr>
          <w:rFonts w:asciiTheme="majorHAnsi" w:hAnsiTheme="majorHAnsi" w:cstheme="majorHAnsi"/>
        </w:rPr>
        <w:t>Weight: Use actual</w:t>
      </w:r>
      <w:r w:rsidR="001A5566">
        <w:rPr>
          <w:rFonts w:asciiTheme="majorHAnsi" w:hAnsiTheme="majorHAnsi" w:cstheme="majorHAnsi"/>
        </w:rPr>
        <w:t>/total</w:t>
      </w:r>
      <w:r w:rsidRPr="005F3EFC">
        <w:rPr>
          <w:rFonts w:asciiTheme="majorHAnsi" w:hAnsiTheme="majorHAnsi" w:cstheme="majorHAnsi"/>
        </w:rPr>
        <w:t xml:space="preserve"> body weight (TBW) </w:t>
      </w:r>
    </w:p>
    <w:p w14:paraId="020ED8C5" w14:textId="2E36A2DE" w:rsidR="002A324C" w:rsidRPr="005F3EFC" w:rsidRDefault="00681130" w:rsidP="001A5566">
      <w:pPr>
        <w:numPr>
          <w:ilvl w:val="0"/>
          <w:numId w:val="1"/>
        </w:numPr>
        <w:rPr>
          <w:rFonts w:asciiTheme="majorHAnsi" w:hAnsiTheme="majorHAnsi" w:cstheme="majorHAnsi"/>
        </w:rPr>
      </w:pPr>
      <w:r w:rsidRPr="005F3EFC">
        <w:rPr>
          <w:rFonts w:asciiTheme="majorHAnsi" w:hAnsiTheme="majorHAnsi" w:cstheme="majorHAnsi"/>
        </w:rPr>
        <w:t xml:space="preserve">Renal function: Calculate Creatinine Clearance using Cockcroft-Gault </w:t>
      </w:r>
      <w:r w:rsidR="006E3274">
        <w:rPr>
          <w:rFonts w:asciiTheme="majorHAnsi" w:hAnsiTheme="majorHAnsi" w:cstheme="majorHAnsi"/>
        </w:rPr>
        <w:t xml:space="preserve">(CG) </w:t>
      </w:r>
      <w:r w:rsidRPr="005F3EFC">
        <w:rPr>
          <w:rFonts w:asciiTheme="majorHAnsi" w:hAnsiTheme="majorHAnsi" w:cstheme="majorHAnsi"/>
        </w:rPr>
        <w:t>equation</w:t>
      </w:r>
    </w:p>
    <w:p w14:paraId="0E9EAEDF" w14:textId="20497DE6" w:rsidR="002A324C" w:rsidRPr="005F3EFC" w:rsidRDefault="00681130" w:rsidP="001A5566">
      <w:pPr>
        <w:numPr>
          <w:ilvl w:val="1"/>
          <w:numId w:val="1"/>
        </w:numPr>
        <w:rPr>
          <w:rFonts w:asciiTheme="majorHAnsi" w:hAnsiTheme="majorHAnsi" w:cstheme="majorHAnsi"/>
        </w:rPr>
      </w:pPr>
      <w:r w:rsidRPr="005F3EFC">
        <w:rPr>
          <w:rFonts w:asciiTheme="majorHAnsi" w:hAnsiTheme="majorHAnsi" w:cstheme="majorHAnsi"/>
        </w:rPr>
        <w:t xml:space="preserve">Serum creatinine values less than 1 mg/dL will greatly elevate the calculated creatinine clearance. This is especially true for elderly patients, malnourished patients, and spinal cord injury patients.  These populations have reduced muscle mass as a fraction of total body weight and so may generate less creatinine.  Although some literature recommends using a minimum of 1 mg/dL in this population, this may underestimate clearance and result in sub-therapeutic dosing. </w:t>
      </w:r>
    </w:p>
    <w:p w14:paraId="78A7686B" w14:textId="51A5ACD0" w:rsidR="002A324C" w:rsidRPr="005F3EFC" w:rsidRDefault="00681130" w:rsidP="001A5566">
      <w:pPr>
        <w:numPr>
          <w:ilvl w:val="1"/>
          <w:numId w:val="1"/>
        </w:numPr>
        <w:rPr>
          <w:rFonts w:asciiTheme="majorHAnsi" w:hAnsiTheme="majorHAnsi" w:cstheme="majorHAnsi"/>
        </w:rPr>
      </w:pPr>
      <w:r w:rsidRPr="005F3EFC">
        <w:rPr>
          <w:rFonts w:asciiTheme="majorHAnsi" w:hAnsiTheme="majorHAnsi" w:cstheme="majorHAnsi"/>
        </w:rPr>
        <w:t>Cockcroft-Gault has been validated in patients with stable renal function but is not a great tool in patients with fluctuating renal function.  If a patient has a substantial increase</w:t>
      </w:r>
      <w:r w:rsidR="008C7F10">
        <w:rPr>
          <w:rFonts w:asciiTheme="majorHAnsi" w:hAnsiTheme="majorHAnsi" w:cstheme="majorHAnsi"/>
        </w:rPr>
        <w:t xml:space="preserve"> or decrease</w:t>
      </w:r>
      <w:r w:rsidRPr="005F3EFC">
        <w:rPr>
          <w:rFonts w:asciiTheme="majorHAnsi" w:hAnsiTheme="majorHAnsi" w:cstheme="majorHAnsi"/>
        </w:rPr>
        <w:t xml:space="preserve"> in SCr, the</w:t>
      </w:r>
      <w:r w:rsidR="008C7F10">
        <w:rPr>
          <w:rFonts w:asciiTheme="majorHAnsi" w:hAnsiTheme="majorHAnsi" w:cstheme="majorHAnsi"/>
        </w:rPr>
        <w:t xml:space="preserve"> patient’s</w:t>
      </w:r>
      <w:r w:rsidRPr="005F3EFC">
        <w:rPr>
          <w:rFonts w:asciiTheme="majorHAnsi" w:hAnsiTheme="majorHAnsi" w:cstheme="majorHAnsi"/>
        </w:rPr>
        <w:t xml:space="preserve"> renal function is </w:t>
      </w:r>
      <w:r w:rsidRPr="005F3EFC">
        <w:rPr>
          <w:rFonts w:asciiTheme="majorHAnsi" w:hAnsiTheme="majorHAnsi" w:cstheme="majorHAnsi"/>
          <w:i/>
        </w:rPr>
        <w:t>at best</w:t>
      </w:r>
      <w:r w:rsidRPr="005F3EFC">
        <w:rPr>
          <w:rFonts w:asciiTheme="majorHAnsi" w:hAnsiTheme="majorHAnsi" w:cstheme="majorHAnsi"/>
        </w:rPr>
        <w:t xml:space="preserve"> what is calculated by the CG equation</w:t>
      </w:r>
      <w:r w:rsidR="00771A63">
        <w:rPr>
          <w:rFonts w:asciiTheme="majorHAnsi" w:hAnsiTheme="majorHAnsi" w:cstheme="majorHAnsi"/>
        </w:rPr>
        <w:t>. C</w:t>
      </w:r>
      <w:r w:rsidRPr="005F3EFC">
        <w:rPr>
          <w:rFonts w:asciiTheme="majorHAnsi" w:hAnsiTheme="majorHAnsi" w:cstheme="majorHAnsi"/>
        </w:rPr>
        <w:t>linical judgment</w:t>
      </w:r>
      <w:r w:rsidR="00771A63">
        <w:rPr>
          <w:rFonts w:asciiTheme="majorHAnsi" w:hAnsiTheme="majorHAnsi" w:cstheme="majorHAnsi"/>
        </w:rPr>
        <w:t xml:space="preserve"> should be exercised to best approximate renal function in the setting of rapid fluctuations in SCr; urine output may be a useful surrogate marker in these settings</w:t>
      </w:r>
      <w:r w:rsidRPr="005F3EFC">
        <w:rPr>
          <w:rFonts w:asciiTheme="majorHAnsi" w:hAnsiTheme="majorHAnsi" w:cstheme="majorHAnsi"/>
        </w:rPr>
        <w:t>.</w:t>
      </w:r>
    </w:p>
    <w:p w14:paraId="495DC5AF" w14:textId="77777777" w:rsidR="002A324C" w:rsidRPr="005F3EFC" w:rsidRDefault="00681130" w:rsidP="001A5566">
      <w:pPr>
        <w:numPr>
          <w:ilvl w:val="1"/>
          <w:numId w:val="1"/>
        </w:numPr>
        <w:rPr>
          <w:rFonts w:asciiTheme="majorHAnsi" w:hAnsiTheme="majorHAnsi" w:cstheme="majorHAnsi"/>
        </w:rPr>
      </w:pPr>
      <w:r w:rsidRPr="005F3EFC">
        <w:rPr>
          <w:rFonts w:asciiTheme="majorHAnsi" w:hAnsiTheme="majorHAnsi" w:cstheme="majorHAnsi"/>
        </w:rPr>
        <w:t>Note that the controversy of what weight (if any) is best to use in the CG equation is still unresolved (</w:t>
      </w:r>
      <w:r w:rsidRPr="005F3EFC">
        <w:rPr>
          <w:rFonts w:asciiTheme="majorHAnsi" w:hAnsiTheme="majorHAnsi" w:cstheme="majorHAnsi"/>
          <w:i/>
        </w:rPr>
        <w:t>Ann Pharmacother</w:t>
      </w:r>
      <w:r w:rsidRPr="005F3EFC">
        <w:rPr>
          <w:rFonts w:asciiTheme="majorHAnsi" w:hAnsiTheme="majorHAnsi" w:cstheme="majorHAnsi"/>
        </w:rPr>
        <w:t xml:space="preserve"> 2013; 47:1039; </w:t>
      </w:r>
      <w:r w:rsidRPr="005F3EFC">
        <w:rPr>
          <w:rFonts w:asciiTheme="majorHAnsi" w:hAnsiTheme="majorHAnsi" w:cstheme="majorHAnsi"/>
          <w:i/>
        </w:rPr>
        <w:t>Am J Health Syst Pharm</w:t>
      </w:r>
      <w:r w:rsidRPr="005F3EFC">
        <w:rPr>
          <w:rFonts w:asciiTheme="majorHAnsi" w:hAnsiTheme="majorHAnsi" w:cstheme="majorHAnsi"/>
        </w:rPr>
        <w:t xml:space="preserve"> 1997; 54:2505; </w:t>
      </w:r>
      <w:r w:rsidRPr="005F3EFC">
        <w:rPr>
          <w:rFonts w:asciiTheme="majorHAnsi" w:hAnsiTheme="majorHAnsi" w:cstheme="majorHAnsi"/>
          <w:i/>
        </w:rPr>
        <w:t>Pharmacotherapy</w:t>
      </w:r>
      <w:r w:rsidRPr="005F3EFC">
        <w:rPr>
          <w:rFonts w:asciiTheme="majorHAnsi" w:hAnsiTheme="majorHAnsi" w:cstheme="majorHAnsi"/>
        </w:rPr>
        <w:t xml:space="preserve"> 2011; 31:658)). </w:t>
      </w:r>
    </w:p>
    <w:p w14:paraId="2D75AB4F" w14:textId="544E5A65" w:rsidR="002A324C" w:rsidRDefault="00681130" w:rsidP="001A5566">
      <w:pPr>
        <w:numPr>
          <w:ilvl w:val="2"/>
          <w:numId w:val="1"/>
        </w:numPr>
        <w:rPr>
          <w:rFonts w:asciiTheme="majorHAnsi" w:hAnsiTheme="majorHAnsi" w:cstheme="majorHAnsi"/>
        </w:rPr>
      </w:pPr>
      <w:r w:rsidRPr="005F3EFC">
        <w:rPr>
          <w:rFonts w:asciiTheme="majorHAnsi" w:hAnsiTheme="majorHAnsi" w:cstheme="majorHAnsi"/>
        </w:rPr>
        <w:t xml:space="preserve">If using weight in calculations, the use of actual body weight </w:t>
      </w:r>
      <w:r w:rsidR="00771A63">
        <w:rPr>
          <w:rFonts w:asciiTheme="majorHAnsi" w:hAnsiTheme="majorHAnsi" w:cstheme="majorHAnsi"/>
        </w:rPr>
        <w:t xml:space="preserve">in obese patients </w:t>
      </w:r>
      <w:r w:rsidRPr="005F3EFC">
        <w:rPr>
          <w:rFonts w:asciiTheme="majorHAnsi" w:hAnsiTheme="majorHAnsi" w:cstheme="majorHAnsi"/>
        </w:rPr>
        <w:t>will overestimate creatinine clearance</w:t>
      </w:r>
      <w:r w:rsidR="00771A63">
        <w:rPr>
          <w:rFonts w:asciiTheme="majorHAnsi" w:hAnsiTheme="majorHAnsi" w:cstheme="majorHAnsi"/>
        </w:rPr>
        <w:t xml:space="preserve"> </w:t>
      </w:r>
      <w:r w:rsidRPr="005F3EFC">
        <w:rPr>
          <w:rFonts w:asciiTheme="majorHAnsi" w:hAnsiTheme="majorHAnsi" w:cstheme="majorHAnsi"/>
        </w:rPr>
        <w:t xml:space="preserve">and the use of ideal body weight (IBW) will underestimate creatinine clearance.  Consequently, adjusted body weight (ABW) </w:t>
      </w:r>
      <w:r w:rsidR="00F74B49">
        <w:rPr>
          <w:rFonts w:asciiTheme="majorHAnsi" w:hAnsiTheme="majorHAnsi" w:cstheme="majorHAnsi"/>
        </w:rPr>
        <w:t>can</w:t>
      </w:r>
      <w:r w:rsidRPr="005F3EFC">
        <w:rPr>
          <w:rFonts w:asciiTheme="majorHAnsi" w:hAnsiTheme="majorHAnsi" w:cstheme="majorHAnsi"/>
        </w:rPr>
        <w:t xml:space="preserve"> be </w:t>
      </w:r>
      <w:r w:rsidR="002B3F15">
        <w:rPr>
          <w:rFonts w:asciiTheme="majorHAnsi" w:hAnsiTheme="majorHAnsi" w:cstheme="majorHAnsi"/>
        </w:rPr>
        <w:t>considered</w:t>
      </w:r>
      <w:r w:rsidRPr="005F3EFC">
        <w:rPr>
          <w:rFonts w:asciiTheme="majorHAnsi" w:hAnsiTheme="majorHAnsi" w:cstheme="majorHAnsi"/>
        </w:rPr>
        <w:t xml:space="preserve"> if a patient’s weight is more than 30% over the ideal body weight (ABW = IBW + 0.4 (TBW-IBW)).</w:t>
      </w:r>
    </w:p>
    <w:p w14:paraId="604CC479" w14:textId="6C73C555" w:rsidR="00F74B49" w:rsidRPr="00F74B49" w:rsidRDefault="00F74B49" w:rsidP="00F74B49">
      <w:pPr>
        <w:numPr>
          <w:ilvl w:val="0"/>
          <w:numId w:val="1"/>
        </w:numPr>
        <w:rPr>
          <w:rFonts w:asciiTheme="majorHAnsi" w:hAnsiTheme="majorHAnsi" w:cstheme="majorHAnsi"/>
          <w:highlight w:val="yellow"/>
        </w:rPr>
      </w:pPr>
      <w:r w:rsidRPr="00F74B49">
        <w:rPr>
          <w:rFonts w:asciiTheme="majorHAnsi" w:hAnsiTheme="majorHAnsi" w:cstheme="majorHAnsi"/>
          <w:highlight w:val="yellow"/>
        </w:rPr>
        <w:t>Ultimately – the strategy for estimating and monitoring a patient’s renal function should be based on institution-specific practice</w:t>
      </w:r>
    </w:p>
    <w:p w14:paraId="75849FC1" w14:textId="0493D3BD" w:rsidR="00771A63" w:rsidRPr="005F3EFC" w:rsidRDefault="00771A63" w:rsidP="00F74B49">
      <w:pPr>
        <w:numPr>
          <w:ilvl w:val="0"/>
          <w:numId w:val="1"/>
        </w:numPr>
        <w:rPr>
          <w:rFonts w:asciiTheme="majorHAnsi" w:hAnsiTheme="majorHAnsi" w:cstheme="majorHAnsi"/>
        </w:rPr>
      </w:pPr>
      <w:r>
        <w:rPr>
          <w:rFonts w:asciiTheme="majorHAnsi" w:hAnsiTheme="majorHAnsi" w:cstheme="majorHAnsi"/>
        </w:rPr>
        <w:t xml:space="preserve">If using Bayesian software programs, your institution should work with </w:t>
      </w:r>
      <w:r w:rsidR="002B3F15">
        <w:rPr>
          <w:rFonts w:asciiTheme="majorHAnsi" w:hAnsiTheme="majorHAnsi" w:cstheme="majorHAnsi"/>
        </w:rPr>
        <w:t>the software company</w:t>
      </w:r>
      <w:r>
        <w:rPr>
          <w:rFonts w:asciiTheme="majorHAnsi" w:hAnsiTheme="majorHAnsi" w:cstheme="majorHAnsi"/>
        </w:rPr>
        <w:t xml:space="preserve"> to determine the best variables and restriction parameters to put on CrCl calculations within the software. Things like creatinine rounding, max cut offs (e.g., 150 mL/min), and which weight to use can be custom programmed at each institution. </w:t>
      </w:r>
    </w:p>
    <w:p w14:paraId="1639BC49" w14:textId="77777777" w:rsidR="002A324C" w:rsidRPr="005F3EFC" w:rsidRDefault="002A324C">
      <w:pPr>
        <w:ind w:left="1440"/>
        <w:rPr>
          <w:rFonts w:asciiTheme="majorHAnsi" w:hAnsiTheme="majorHAnsi" w:cstheme="majorHAnsi"/>
        </w:rPr>
      </w:pPr>
    </w:p>
    <w:p w14:paraId="3FF8F40B" w14:textId="77777777" w:rsidR="002A324C" w:rsidRPr="005F3EFC" w:rsidRDefault="002A324C">
      <w:pPr>
        <w:ind w:left="2160"/>
        <w:rPr>
          <w:rFonts w:asciiTheme="majorHAnsi" w:hAnsiTheme="majorHAnsi" w:cstheme="majorHAnsi"/>
        </w:rPr>
      </w:pPr>
    </w:p>
    <w:p w14:paraId="4CB71453" w14:textId="77777777" w:rsidR="002A324C" w:rsidRPr="005F3EFC" w:rsidRDefault="002A324C">
      <w:pPr>
        <w:rPr>
          <w:rFonts w:asciiTheme="majorHAnsi" w:hAnsiTheme="majorHAnsi" w:cstheme="majorHAnsi"/>
        </w:rPr>
      </w:pPr>
    </w:p>
    <w:p w14:paraId="26939530" w14:textId="067E05E9" w:rsidR="002A324C" w:rsidRDefault="002A324C">
      <w:pPr>
        <w:rPr>
          <w:rFonts w:asciiTheme="majorHAnsi" w:hAnsiTheme="majorHAnsi" w:cstheme="majorHAnsi"/>
        </w:rPr>
      </w:pPr>
    </w:p>
    <w:p w14:paraId="2BB57DBC" w14:textId="6CA550B6" w:rsidR="006E0618" w:rsidRDefault="006E0618">
      <w:pPr>
        <w:rPr>
          <w:rFonts w:asciiTheme="majorHAnsi" w:hAnsiTheme="majorHAnsi" w:cstheme="majorHAnsi"/>
        </w:rPr>
      </w:pPr>
    </w:p>
    <w:p w14:paraId="1D1657E5" w14:textId="7D36B6BE" w:rsidR="006E0618" w:rsidRDefault="006E0618">
      <w:pPr>
        <w:rPr>
          <w:rFonts w:asciiTheme="majorHAnsi" w:hAnsiTheme="majorHAnsi" w:cstheme="majorHAnsi"/>
        </w:rPr>
      </w:pPr>
    </w:p>
    <w:p w14:paraId="370D8CF6" w14:textId="1DE58F9D" w:rsidR="006E0618" w:rsidRDefault="006E0618">
      <w:pPr>
        <w:rPr>
          <w:rFonts w:asciiTheme="majorHAnsi" w:hAnsiTheme="majorHAnsi" w:cstheme="majorHAnsi"/>
        </w:rPr>
      </w:pPr>
    </w:p>
    <w:p w14:paraId="543001A3" w14:textId="77777777" w:rsidR="00F74B49" w:rsidRDefault="00F74B49">
      <w:pPr>
        <w:rPr>
          <w:rFonts w:asciiTheme="majorHAnsi" w:hAnsiTheme="majorHAnsi" w:cstheme="majorHAnsi"/>
        </w:rPr>
      </w:pPr>
    </w:p>
    <w:p w14:paraId="1FFF8C8D" w14:textId="1AA201E9" w:rsidR="006E0618" w:rsidRPr="005F3EFC" w:rsidRDefault="006E0618">
      <w:pPr>
        <w:rPr>
          <w:rFonts w:asciiTheme="majorHAnsi" w:hAnsiTheme="majorHAnsi" w:cstheme="majorHAnsi"/>
        </w:rPr>
      </w:pPr>
      <w:r>
        <w:rPr>
          <w:rFonts w:asciiTheme="majorHAnsi" w:hAnsiTheme="majorHAnsi" w:cstheme="majorHAnsi"/>
        </w:rPr>
        <w:lastRenderedPageBreak/>
        <w:t>Vancomycin Dosing Targets:</w:t>
      </w:r>
    </w:p>
    <w:tbl>
      <w:tblPr>
        <w:tblStyle w:val="a"/>
        <w:tblW w:w="9120" w:type="dxa"/>
        <w:tblBorders>
          <w:top w:val="nil"/>
          <w:left w:val="nil"/>
          <w:bottom w:val="nil"/>
          <w:right w:val="nil"/>
          <w:insideH w:val="nil"/>
          <w:insideV w:val="nil"/>
        </w:tblBorders>
        <w:tblLayout w:type="fixed"/>
        <w:tblLook w:val="0600" w:firstRow="0" w:lastRow="0" w:firstColumn="0" w:lastColumn="0" w:noHBand="1" w:noVBand="1"/>
      </w:tblPr>
      <w:tblGrid>
        <w:gridCol w:w="3960"/>
        <w:gridCol w:w="5160"/>
      </w:tblGrid>
      <w:tr w:rsidR="002A324C" w:rsidRPr="005F3EFC" w14:paraId="0AF58508" w14:textId="77777777">
        <w:trPr>
          <w:trHeight w:val="440"/>
        </w:trPr>
        <w:tc>
          <w:tcPr>
            <w:tcW w:w="396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06CF0E89" w14:textId="77777777" w:rsidR="002A324C" w:rsidRPr="005F3EFC" w:rsidRDefault="00681130">
            <w:pPr>
              <w:rPr>
                <w:rFonts w:asciiTheme="majorHAnsi" w:hAnsiTheme="majorHAnsi" w:cstheme="majorHAnsi"/>
                <w:b/>
              </w:rPr>
            </w:pPr>
            <w:r w:rsidRPr="005F3EFC">
              <w:rPr>
                <w:rFonts w:asciiTheme="majorHAnsi" w:hAnsiTheme="majorHAnsi" w:cstheme="majorHAnsi"/>
                <w:b/>
              </w:rPr>
              <w:t>Indication</w:t>
            </w:r>
          </w:p>
        </w:tc>
        <w:tc>
          <w:tcPr>
            <w:tcW w:w="5160"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14:paraId="506D44CE" w14:textId="77777777" w:rsidR="002A324C" w:rsidRPr="005F3EFC" w:rsidRDefault="00681130">
            <w:pPr>
              <w:rPr>
                <w:rFonts w:asciiTheme="majorHAnsi" w:hAnsiTheme="majorHAnsi" w:cstheme="majorHAnsi"/>
                <w:b/>
              </w:rPr>
            </w:pPr>
            <w:r w:rsidRPr="005F3EFC">
              <w:rPr>
                <w:rFonts w:asciiTheme="majorHAnsi" w:hAnsiTheme="majorHAnsi" w:cstheme="majorHAnsi"/>
                <w:b/>
              </w:rPr>
              <w:t>Vancomycin Dosing</w:t>
            </w:r>
          </w:p>
        </w:tc>
      </w:tr>
      <w:tr w:rsidR="002A324C" w:rsidRPr="005F3EFC" w14:paraId="598C01A8" w14:textId="77777777">
        <w:trPr>
          <w:trHeight w:val="2690"/>
        </w:trPr>
        <w:tc>
          <w:tcPr>
            <w:tcW w:w="3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FD307E" w14:textId="77777777" w:rsidR="002A324C" w:rsidRPr="005F3EFC" w:rsidRDefault="00681130">
            <w:pPr>
              <w:rPr>
                <w:rFonts w:asciiTheme="majorHAnsi" w:hAnsiTheme="majorHAnsi" w:cstheme="majorHAnsi"/>
                <w:b/>
              </w:rPr>
            </w:pPr>
            <w:r w:rsidRPr="005F3EFC">
              <w:rPr>
                <w:rFonts w:asciiTheme="majorHAnsi" w:hAnsiTheme="majorHAnsi" w:cstheme="majorHAnsi"/>
                <w:b/>
              </w:rPr>
              <w:t xml:space="preserve">Suspected or confirmed </w:t>
            </w:r>
            <w:r w:rsidRPr="005F3EFC">
              <w:rPr>
                <w:rFonts w:asciiTheme="majorHAnsi" w:hAnsiTheme="majorHAnsi" w:cstheme="majorHAnsi"/>
                <w:b/>
                <w:i/>
              </w:rPr>
              <w:t>Staphylococcus aureu</w:t>
            </w:r>
            <w:r w:rsidRPr="005F3EFC">
              <w:rPr>
                <w:rFonts w:asciiTheme="majorHAnsi" w:hAnsiTheme="majorHAnsi" w:cstheme="majorHAnsi"/>
                <w:b/>
              </w:rPr>
              <w:t>s</w:t>
            </w:r>
          </w:p>
          <w:p w14:paraId="173A082D" w14:textId="77777777" w:rsidR="002A324C" w:rsidRPr="005F3EFC" w:rsidRDefault="00681130">
            <w:pPr>
              <w:rPr>
                <w:rFonts w:asciiTheme="majorHAnsi" w:hAnsiTheme="majorHAnsi" w:cstheme="majorHAnsi"/>
              </w:rPr>
            </w:pPr>
            <w:r w:rsidRPr="005F3EFC">
              <w:rPr>
                <w:rFonts w:asciiTheme="majorHAnsi" w:hAnsiTheme="majorHAnsi" w:cstheme="majorHAnsi"/>
              </w:rPr>
              <w:t>Bacteremia (all sources)</w:t>
            </w:r>
          </w:p>
          <w:p w14:paraId="285854E1" w14:textId="77777777" w:rsidR="002A324C" w:rsidRPr="005F3EFC" w:rsidRDefault="00681130">
            <w:pPr>
              <w:rPr>
                <w:rFonts w:asciiTheme="majorHAnsi" w:hAnsiTheme="majorHAnsi" w:cstheme="majorHAnsi"/>
              </w:rPr>
            </w:pPr>
            <w:r w:rsidRPr="005F3EFC">
              <w:rPr>
                <w:rFonts w:asciiTheme="majorHAnsi" w:hAnsiTheme="majorHAnsi" w:cstheme="majorHAnsi"/>
              </w:rPr>
              <w:t>Endocarditis</w:t>
            </w:r>
          </w:p>
          <w:p w14:paraId="5FBD0DDC" w14:textId="4CF597B3" w:rsidR="002A324C" w:rsidRPr="005F3EFC" w:rsidRDefault="00681130">
            <w:pPr>
              <w:rPr>
                <w:rFonts w:asciiTheme="majorHAnsi" w:hAnsiTheme="majorHAnsi" w:cstheme="majorHAnsi"/>
              </w:rPr>
            </w:pPr>
            <w:r w:rsidRPr="005F3EFC">
              <w:rPr>
                <w:rFonts w:asciiTheme="majorHAnsi" w:hAnsiTheme="majorHAnsi" w:cstheme="majorHAnsi"/>
              </w:rPr>
              <w:t xml:space="preserve">Meningitis/CNS </w:t>
            </w:r>
            <w:r w:rsidR="00163D60">
              <w:rPr>
                <w:rFonts w:asciiTheme="majorHAnsi" w:hAnsiTheme="majorHAnsi" w:cstheme="majorHAnsi"/>
              </w:rPr>
              <w:t>i</w:t>
            </w:r>
            <w:r w:rsidRPr="005F3EFC">
              <w:rPr>
                <w:rFonts w:asciiTheme="majorHAnsi" w:hAnsiTheme="majorHAnsi" w:cstheme="majorHAnsi"/>
              </w:rPr>
              <w:t>nfection</w:t>
            </w:r>
          </w:p>
          <w:p w14:paraId="72C98DC1" w14:textId="77777777" w:rsidR="002A324C" w:rsidRPr="005F3EFC" w:rsidRDefault="00681130">
            <w:pPr>
              <w:rPr>
                <w:rFonts w:asciiTheme="majorHAnsi" w:hAnsiTheme="majorHAnsi" w:cstheme="majorHAnsi"/>
              </w:rPr>
            </w:pPr>
            <w:r w:rsidRPr="005F3EFC">
              <w:rPr>
                <w:rFonts w:asciiTheme="majorHAnsi" w:hAnsiTheme="majorHAnsi" w:cstheme="majorHAnsi"/>
              </w:rPr>
              <w:t>Osteomyelitis</w:t>
            </w:r>
          </w:p>
          <w:p w14:paraId="39502757" w14:textId="77777777" w:rsidR="002A324C" w:rsidRPr="005F3EFC" w:rsidRDefault="00681130">
            <w:pPr>
              <w:rPr>
                <w:rFonts w:asciiTheme="majorHAnsi" w:hAnsiTheme="majorHAnsi" w:cstheme="majorHAnsi"/>
              </w:rPr>
            </w:pPr>
            <w:r w:rsidRPr="005F3EFC">
              <w:rPr>
                <w:rFonts w:asciiTheme="majorHAnsi" w:hAnsiTheme="majorHAnsi" w:cstheme="majorHAnsi"/>
              </w:rPr>
              <w:t>Necrotizing fasciitis</w:t>
            </w:r>
          </w:p>
          <w:p w14:paraId="530202C1" w14:textId="77777777" w:rsidR="002A324C" w:rsidRPr="005F3EFC" w:rsidRDefault="00681130">
            <w:pPr>
              <w:rPr>
                <w:rFonts w:asciiTheme="majorHAnsi" w:hAnsiTheme="majorHAnsi" w:cstheme="majorHAnsi"/>
              </w:rPr>
            </w:pPr>
            <w:r w:rsidRPr="005F3EFC">
              <w:rPr>
                <w:rFonts w:asciiTheme="majorHAnsi" w:hAnsiTheme="majorHAnsi" w:cstheme="majorHAnsi"/>
              </w:rPr>
              <w:t>Pneumonia</w:t>
            </w:r>
          </w:p>
          <w:p w14:paraId="0F309144" w14:textId="04C99CDA" w:rsidR="002A324C" w:rsidRPr="005F3EFC" w:rsidRDefault="00681130">
            <w:pPr>
              <w:rPr>
                <w:rFonts w:asciiTheme="majorHAnsi" w:hAnsiTheme="majorHAnsi" w:cstheme="majorHAnsi"/>
              </w:rPr>
            </w:pPr>
            <w:r w:rsidRPr="005F3EFC">
              <w:rPr>
                <w:rFonts w:asciiTheme="majorHAnsi" w:hAnsiTheme="majorHAnsi" w:cstheme="majorHAnsi"/>
              </w:rPr>
              <w:t xml:space="preserve">Empiric therapy for </w:t>
            </w:r>
            <w:r w:rsidR="00163D60">
              <w:rPr>
                <w:rFonts w:asciiTheme="majorHAnsi" w:hAnsiTheme="majorHAnsi" w:cstheme="majorHAnsi"/>
              </w:rPr>
              <w:t>fever and neutropenia</w:t>
            </w:r>
          </w:p>
          <w:p w14:paraId="55418770" w14:textId="77777777" w:rsidR="002A324C" w:rsidRPr="005F3EFC" w:rsidRDefault="00681130">
            <w:pPr>
              <w:rPr>
                <w:rFonts w:asciiTheme="majorHAnsi" w:hAnsiTheme="majorHAnsi" w:cstheme="majorHAnsi"/>
              </w:rPr>
            </w:pPr>
            <w:r w:rsidRPr="005F3EFC">
              <w:rPr>
                <w:rFonts w:asciiTheme="majorHAnsi" w:hAnsiTheme="majorHAnsi" w:cstheme="majorHAnsi"/>
              </w:rPr>
              <w:t>Sepsis, source unknown</w:t>
            </w:r>
          </w:p>
          <w:p w14:paraId="4DF5B432" w14:textId="77777777" w:rsidR="002A324C" w:rsidRPr="005F3EFC" w:rsidRDefault="00681130">
            <w:pPr>
              <w:rPr>
                <w:rFonts w:asciiTheme="majorHAnsi" w:hAnsiTheme="majorHAnsi" w:cstheme="majorHAnsi"/>
              </w:rPr>
            </w:pPr>
            <w:r w:rsidRPr="005F3EFC">
              <w:rPr>
                <w:rFonts w:asciiTheme="majorHAnsi" w:hAnsiTheme="majorHAnsi" w:cstheme="majorHAnsi"/>
              </w:rPr>
              <w:t>Skin/soft tissue infection</w:t>
            </w:r>
          </w:p>
          <w:p w14:paraId="660EBA34" w14:textId="77777777" w:rsidR="002A324C" w:rsidRPr="005F3EFC" w:rsidRDefault="00681130">
            <w:pPr>
              <w:rPr>
                <w:rFonts w:asciiTheme="majorHAnsi" w:hAnsiTheme="majorHAnsi" w:cstheme="majorHAnsi"/>
              </w:rPr>
            </w:pPr>
            <w:r w:rsidRPr="005F3EFC">
              <w:rPr>
                <w:rFonts w:asciiTheme="majorHAnsi" w:hAnsiTheme="majorHAnsi" w:cstheme="majorHAnsi"/>
              </w:rPr>
              <w:t xml:space="preserve"> </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09032AC2" w14:textId="50BBBAAE" w:rsidR="002A324C" w:rsidRPr="005F3EFC" w:rsidRDefault="00681130" w:rsidP="00F74B49">
            <w:pPr>
              <w:rPr>
                <w:rFonts w:asciiTheme="majorHAnsi" w:hAnsiTheme="majorHAnsi" w:cstheme="majorHAnsi"/>
              </w:rPr>
            </w:pPr>
            <w:r w:rsidRPr="005F3EFC">
              <w:rPr>
                <w:rFonts w:asciiTheme="majorHAnsi" w:hAnsiTheme="majorHAnsi" w:cstheme="majorHAnsi"/>
              </w:rPr>
              <w:t>Target AUC</w:t>
            </w:r>
            <w:r w:rsidRPr="005F3EFC">
              <w:rPr>
                <w:rFonts w:asciiTheme="majorHAnsi" w:hAnsiTheme="majorHAnsi" w:cstheme="majorHAnsi"/>
                <w:vertAlign w:val="subscript"/>
              </w:rPr>
              <w:t>24</w:t>
            </w:r>
            <w:r w:rsidRPr="005F3EFC">
              <w:rPr>
                <w:rFonts w:asciiTheme="majorHAnsi" w:hAnsiTheme="majorHAnsi" w:cstheme="majorHAnsi"/>
              </w:rPr>
              <w:t xml:space="preserve"> 400-600</w:t>
            </w:r>
            <w:r w:rsidR="00163D60">
              <w:rPr>
                <w:rFonts w:asciiTheme="majorHAnsi" w:hAnsiTheme="majorHAnsi" w:cstheme="majorHAnsi"/>
              </w:rPr>
              <w:t xml:space="preserve"> </w:t>
            </w:r>
            <w:r w:rsidR="00163D60" w:rsidRPr="005F3EFC">
              <w:rPr>
                <w:rFonts w:asciiTheme="majorHAnsi" w:hAnsiTheme="majorHAnsi" w:cstheme="majorHAnsi"/>
              </w:rPr>
              <w:t>mcg*h/mL</w:t>
            </w:r>
            <w:r w:rsidRPr="005F3EFC">
              <w:rPr>
                <w:rFonts w:asciiTheme="majorHAnsi" w:hAnsiTheme="majorHAnsi" w:cstheme="majorHAnsi"/>
              </w:rPr>
              <w:t xml:space="preserve">  </w:t>
            </w:r>
          </w:p>
        </w:tc>
      </w:tr>
      <w:tr w:rsidR="002A324C" w:rsidRPr="005F3EFC" w14:paraId="65A8BF09" w14:textId="77777777">
        <w:trPr>
          <w:trHeight w:val="920"/>
        </w:trPr>
        <w:tc>
          <w:tcPr>
            <w:tcW w:w="3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28782C" w14:textId="77777777" w:rsidR="002A324C" w:rsidRPr="005F3EFC" w:rsidRDefault="00681130">
            <w:pPr>
              <w:rPr>
                <w:rFonts w:asciiTheme="majorHAnsi" w:hAnsiTheme="majorHAnsi" w:cstheme="majorHAnsi"/>
              </w:rPr>
            </w:pPr>
            <w:r w:rsidRPr="005F3EFC">
              <w:rPr>
                <w:rFonts w:asciiTheme="majorHAnsi" w:hAnsiTheme="majorHAnsi" w:cstheme="majorHAnsi"/>
              </w:rPr>
              <w:t>Other organisms (non-</w:t>
            </w:r>
            <w:r w:rsidRPr="005F3EFC">
              <w:rPr>
                <w:rFonts w:asciiTheme="majorHAnsi" w:hAnsiTheme="majorHAnsi" w:cstheme="majorHAnsi"/>
                <w:i/>
              </w:rPr>
              <w:t>S. aureus</w:t>
            </w:r>
            <w:r w:rsidRPr="005F3EFC">
              <w:rPr>
                <w:rFonts w:asciiTheme="majorHAnsi" w:hAnsiTheme="majorHAnsi" w:cstheme="majorHAnsi"/>
              </w:rPr>
              <w:t>)</w:t>
            </w:r>
          </w:p>
          <w:p w14:paraId="0A9730A4" w14:textId="77777777" w:rsidR="002A324C" w:rsidRPr="005F3EFC" w:rsidRDefault="002A324C">
            <w:pPr>
              <w:rPr>
                <w:rFonts w:asciiTheme="majorHAnsi" w:hAnsiTheme="majorHAnsi" w:cstheme="majorHAnsi"/>
              </w:rPr>
            </w:pP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6531B268" w14:textId="77777777" w:rsidR="002A324C" w:rsidRPr="005F3EFC" w:rsidRDefault="00681130">
            <w:pPr>
              <w:rPr>
                <w:rFonts w:asciiTheme="majorHAnsi" w:hAnsiTheme="majorHAnsi" w:cstheme="majorHAnsi"/>
                <w:highlight w:val="yellow"/>
              </w:rPr>
            </w:pPr>
            <w:r w:rsidRPr="005F3EFC">
              <w:rPr>
                <w:rFonts w:asciiTheme="majorHAnsi" w:hAnsiTheme="majorHAnsi" w:cstheme="majorHAnsi"/>
                <w:highlight w:val="yellow"/>
              </w:rPr>
              <w:t>[Institution-specific decision point to utilize AUC guidance for all vancomycin dosing compared to a mix of AUC or trough pending organism]</w:t>
            </w:r>
          </w:p>
          <w:p w14:paraId="3E962DC7" w14:textId="77777777" w:rsidR="002A324C" w:rsidRPr="005F3EFC" w:rsidRDefault="002A324C">
            <w:pPr>
              <w:rPr>
                <w:rFonts w:asciiTheme="majorHAnsi" w:hAnsiTheme="majorHAnsi" w:cstheme="majorHAnsi"/>
              </w:rPr>
            </w:pPr>
          </w:p>
          <w:p w14:paraId="2266F7A6" w14:textId="4544B645" w:rsidR="002A324C" w:rsidRPr="005F3EFC" w:rsidRDefault="00681130">
            <w:pPr>
              <w:rPr>
                <w:rFonts w:asciiTheme="majorHAnsi" w:hAnsiTheme="majorHAnsi" w:cstheme="majorHAnsi"/>
              </w:rPr>
            </w:pPr>
            <w:r w:rsidRPr="005F3EFC">
              <w:rPr>
                <w:rFonts w:asciiTheme="majorHAnsi" w:hAnsiTheme="majorHAnsi" w:cstheme="majorHAnsi"/>
              </w:rPr>
              <w:t>Target trough (~10-15 mcg/mL likely adequate) or AUC guided as above</w:t>
            </w:r>
            <w:r w:rsidR="002B3F15">
              <w:rPr>
                <w:rFonts w:asciiTheme="majorHAnsi" w:hAnsiTheme="majorHAnsi" w:cstheme="majorHAnsi"/>
              </w:rPr>
              <w:t xml:space="preserve"> (&lt;600 mcg*h/mL)</w:t>
            </w:r>
          </w:p>
          <w:p w14:paraId="5C5D3A40" w14:textId="77777777" w:rsidR="002A324C" w:rsidRPr="005F3EFC" w:rsidRDefault="002A324C">
            <w:pPr>
              <w:rPr>
                <w:rFonts w:asciiTheme="majorHAnsi" w:hAnsiTheme="majorHAnsi" w:cstheme="majorHAnsi"/>
              </w:rPr>
            </w:pPr>
          </w:p>
          <w:p w14:paraId="7F9080C3" w14:textId="507199C7" w:rsidR="002A324C" w:rsidRPr="005F3EFC" w:rsidRDefault="00681130" w:rsidP="00F74B49">
            <w:pPr>
              <w:rPr>
                <w:rFonts w:asciiTheme="majorHAnsi" w:hAnsiTheme="majorHAnsi" w:cstheme="majorHAnsi"/>
              </w:rPr>
            </w:pPr>
            <w:r w:rsidRPr="005F3EFC">
              <w:rPr>
                <w:rFonts w:asciiTheme="majorHAnsi" w:hAnsiTheme="majorHAnsi" w:cstheme="majorHAnsi"/>
              </w:rPr>
              <w:t>Of note - there is some data suggesting an AUC target of 380-400 for Enterococcal infections</w:t>
            </w:r>
            <w:r w:rsidR="00F74B49">
              <w:rPr>
                <w:rFonts w:asciiTheme="majorHAnsi" w:hAnsiTheme="majorHAnsi" w:cstheme="majorHAnsi"/>
              </w:rPr>
              <w:t xml:space="preserve"> (Jumah 2017)</w:t>
            </w:r>
            <w:r w:rsidRPr="005F3EFC">
              <w:rPr>
                <w:rFonts w:asciiTheme="majorHAnsi" w:hAnsiTheme="majorHAnsi" w:cstheme="majorHAnsi"/>
              </w:rPr>
              <w:t>. AUC-guided dosing may still be preferred for patients on prolonged courses of vancomycin or with multiple risk factors for nephrotoxicity.</w:t>
            </w:r>
          </w:p>
        </w:tc>
      </w:tr>
      <w:tr w:rsidR="002A324C" w:rsidRPr="005F3EFC" w14:paraId="7DA8DA83" w14:textId="77777777">
        <w:trPr>
          <w:trHeight w:val="1340"/>
        </w:trPr>
        <w:tc>
          <w:tcPr>
            <w:tcW w:w="3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B5A266" w14:textId="77777777" w:rsidR="002A324C" w:rsidRPr="005F3EFC" w:rsidRDefault="00681130">
            <w:pPr>
              <w:rPr>
                <w:rFonts w:asciiTheme="majorHAnsi" w:hAnsiTheme="majorHAnsi" w:cstheme="majorHAnsi"/>
              </w:rPr>
            </w:pPr>
            <w:r w:rsidRPr="005F3EFC">
              <w:rPr>
                <w:rFonts w:asciiTheme="majorHAnsi" w:hAnsiTheme="majorHAnsi" w:cstheme="majorHAnsi"/>
              </w:rPr>
              <w:t>Surgical Prophylaxis</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7423ECA2" w14:textId="77777777" w:rsidR="002A324C" w:rsidRPr="005F3EFC" w:rsidRDefault="00681130">
            <w:pPr>
              <w:rPr>
                <w:rFonts w:asciiTheme="majorHAnsi" w:hAnsiTheme="majorHAnsi" w:cstheme="majorHAnsi"/>
                <w:highlight w:val="yellow"/>
              </w:rPr>
            </w:pPr>
            <w:r w:rsidRPr="005F3EFC">
              <w:rPr>
                <w:rFonts w:asciiTheme="majorHAnsi" w:hAnsiTheme="majorHAnsi" w:cstheme="majorHAnsi"/>
                <w:highlight w:val="yellow"/>
              </w:rPr>
              <w:t>As per local Antimicrobial Prophylaxis for Surgical Procedures Protocol</w:t>
            </w:r>
          </w:p>
          <w:p w14:paraId="2139EAEE" w14:textId="77777777" w:rsidR="002A324C" w:rsidRPr="005F3EFC" w:rsidRDefault="00681130">
            <w:pPr>
              <w:rPr>
                <w:rFonts w:asciiTheme="majorHAnsi" w:hAnsiTheme="majorHAnsi" w:cstheme="majorHAnsi"/>
              </w:rPr>
            </w:pPr>
            <w:r w:rsidRPr="005F3EFC">
              <w:rPr>
                <w:rFonts w:asciiTheme="majorHAnsi" w:hAnsiTheme="majorHAnsi" w:cstheme="majorHAnsi"/>
              </w:rPr>
              <w:t>Example:</w:t>
            </w:r>
          </w:p>
          <w:p w14:paraId="45F66B7A" w14:textId="77777777" w:rsidR="002A324C" w:rsidRPr="005F3EFC" w:rsidRDefault="00681130">
            <w:pPr>
              <w:rPr>
                <w:rFonts w:asciiTheme="majorHAnsi" w:hAnsiTheme="majorHAnsi" w:cstheme="majorHAnsi"/>
              </w:rPr>
            </w:pPr>
            <w:r w:rsidRPr="005F3EFC">
              <w:rPr>
                <w:rFonts w:asciiTheme="majorHAnsi" w:eastAsia="Arial Unicode MS" w:hAnsiTheme="majorHAnsi" w:cstheme="majorHAnsi"/>
              </w:rPr>
              <w:t>≤70 kg – 1 gm IV</w:t>
            </w:r>
          </w:p>
          <w:p w14:paraId="1985F7F2" w14:textId="77777777" w:rsidR="002A324C" w:rsidRPr="005F3EFC" w:rsidRDefault="00681130">
            <w:pPr>
              <w:rPr>
                <w:rFonts w:asciiTheme="majorHAnsi" w:hAnsiTheme="majorHAnsi" w:cstheme="majorHAnsi"/>
              </w:rPr>
            </w:pPr>
            <w:r w:rsidRPr="005F3EFC">
              <w:rPr>
                <w:rFonts w:asciiTheme="majorHAnsi" w:hAnsiTheme="majorHAnsi" w:cstheme="majorHAnsi"/>
              </w:rPr>
              <w:t>71 – 109 kg – 1.5 gm IV</w:t>
            </w:r>
          </w:p>
          <w:p w14:paraId="4385C379" w14:textId="77777777" w:rsidR="002A324C" w:rsidRPr="005F3EFC" w:rsidRDefault="00681130">
            <w:pPr>
              <w:rPr>
                <w:rFonts w:asciiTheme="majorHAnsi" w:hAnsiTheme="majorHAnsi" w:cstheme="majorHAnsi"/>
              </w:rPr>
            </w:pPr>
            <w:r w:rsidRPr="005F3EFC">
              <w:rPr>
                <w:rFonts w:asciiTheme="majorHAnsi" w:hAnsiTheme="majorHAnsi" w:cstheme="majorHAnsi"/>
              </w:rPr>
              <w:t>&gt;110 kg – 2 gm IV</w:t>
            </w:r>
          </w:p>
        </w:tc>
      </w:tr>
      <w:tr w:rsidR="002A324C" w:rsidRPr="005F3EFC" w14:paraId="438B45DC" w14:textId="77777777">
        <w:trPr>
          <w:trHeight w:val="725"/>
        </w:trPr>
        <w:tc>
          <w:tcPr>
            <w:tcW w:w="9120" w:type="dxa"/>
            <w:gridSpan w:val="2"/>
            <w:tcBorders>
              <w:top w:val="nil"/>
              <w:left w:val="nil"/>
              <w:bottom w:val="nil"/>
              <w:right w:val="nil"/>
            </w:tcBorders>
            <w:tcMar>
              <w:top w:w="100" w:type="dxa"/>
              <w:left w:w="100" w:type="dxa"/>
              <w:bottom w:w="100" w:type="dxa"/>
              <w:right w:w="100" w:type="dxa"/>
            </w:tcMar>
          </w:tcPr>
          <w:p w14:paraId="51D3C076" w14:textId="4592FD1C" w:rsidR="002A324C" w:rsidRPr="005F3EFC" w:rsidRDefault="002A324C">
            <w:pPr>
              <w:rPr>
                <w:rFonts w:asciiTheme="majorHAnsi" w:hAnsiTheme="majorHAnsi" w:cstheme="majorHAnsi"/>
                <w:i/>
                <w:highlight w:val="yellow"/>
              </w:rPr>
            </w:pPr>
          </w:p>
        </w:tc>
      </w:tr>
    </w:tbl>
    <w:p w14:paraId="5103DE57" w14:textId="77777777" w:rsidR="002A324C" w:rsidRPr="005F3EFC" w:rsidRDefault="002A324C">
      <w:pPr>
        <w:rPr>
          <w:rFonts w:asciiTheme="majorHAnsi" w:hAnsiTheme="majorHAnsi" w:cstheme="majorHAnsi"/>
        </w:rPr>
      </w:pPr>
    </w:p>
    <w:p w14:paraId="1C758C25" w14:textId="059DB437" w:rsidR="002A324C" w:rsidRPr="005F3EFC" w:rsidRDefault="006E0618" w:rsidP="00B56C7C">
      <w:pPr>
        <w:pStyle w:val="Heading2"/>
        <w:rPr>
          <w:rFonts w:asciiTheme="majorHAnsi" w:hAnsiTheme="majorHAnsi" w:cstheme="majorHAnsi"/>
          <w:b/>
        </w:rPr>
      </w:pPr>
      <w:bookmarkStart w:id="3" w:name="_Toc63242824"/>
      <w:r>
        <w:rPr>
          <w:rFonts w:asciiTheme="majorHAnsi" w:hAnsiTheme="majorHAnsi" w:cstheme="majorHAnsi"/>
          <w:b/>
        </w:rPr>
        <w:lastRenderedPageBreak/>
        <w:t xml:space="preserve">Vancomycin </w:t>
      </w:r>
      <w:r w:rsidR="00681130" w:rsidRPr="005F3EFC">
        <w:rPr>
          <w:rFonts w:asciiTheme="majorHAnsi" w:hAnsiTheme="majorHAnsi" w:cstheme="majorHAnsi"/>
          <w:b/>
        </w:rPr>
        <w:t>Loading Doses</w:t>
      </w:r>
      <w:bookmarkEnd w:id="3"/>
    </w:p>
    <w:p w14:paraId="648E276E" w14:textId="487EDABC" w:rsidR="002A324C" w:rsidRPr="005F3EFC" w:rsidRDefault="00681130">
      <w:pPr>
        <w:numPr>
          <w:ilvl w:val="0"/>
          <w:numId w:val="4"/>
        </w:numPr>
        <w:rPr>
          <w:rFonts w:asciiTheme="majorHAnsi" w:hAnsiTheme="majorHAnsi" w:cstheme="majorHAnsi"/>
        </w:rPr>
      </w:pPr>
      <w:r w:rsidRPr="005F3EFC">
        <w:rPr>
          <w:rFonts w:asciiTheme="majorHAnsi" w:hAnsiTheme="majorHAnsi" w:cstheme="majorHAnsi"/>
        </w:rPr>
        <w:t xml:space="preserve">Loading doses are recommended for patients </w:t>
      </w:r>
      <w:r w:rsidR="00BA58C7">
        <w:rPr>
          <w:rFonts w:asciiTheme="majorHAnsi" w:hAnsiTheme="majorHAnsi" w:cstheme="majorHAnsi"/>
        </w:rPr>
        <w:t xml:space="preserve">with sepsis </w:t>
      </w:r>
      <w:r w:rsidRPr="005F3EFC">
        <w:rPr>
          <w:rFonts w:asciiTheme="majorHAnsi" w:hAnsiTheme="majorHAnsi" w:cstheme="majorHAnsi"/>
        </w:rPr>
        <w:t>and patients with suspected CNS infections at minimum. Loading doses can be considered for any serious infection</w:t>
      </w:r>
      <w:r w:rsidR="00BA58C7">
        <w:rPr>
          <w:rFonts w:asciiTheme="majorHAnsi" w:hAnsiTheme="majorHAnsi" w:cstheme="majorHAnsi"/>
        </w:rPr>
        <w:t xml:space="preserve"> (e.g., endocarditis)</w:t>
      </w:r>
      <w:r w:rsidRPr="005F3EFC">
        <w:rPr>
          <w:rFonts w:asciiTheme="majorHAnsi" w:hAnsiTheme="majorHAnsi" w:cstheme="majorHAnsi"/>
        </w:rPr>
        <w:t xml:space="preserve">. </w:t>
      </w:r>
    </w:p>
    <w:p w14:paraId="3C8B8572" w14:textId="77777777" w:rsidR="002A324C" w:rsidRPr="005F3EFC" w:rsidRDefault="00681130">
      <w:pPr>
        <w:numPr>
          <w:ilvl w:val="0"/>
          <w:numId w:val="4"/>
        </w:numPr>
        <w:rPr>
          <w:rFonts w:asciiTheme="majorHAnsi" w:hAnsiTheme="majorHAnsi" w:cstheme="majorHAnsi"/>
        </w:rPr>
      </w:pPr>
      <w:r w:rsidRPr="005F3EFC">
        <w:rPr>
          <w:rFonts w:asciiTheme="majorHAnsi" w:hAnsiTheme="majorHAnsi" w:cstheme="majorHAnsi"/>
        </w:rPr>
        <w:t xml:space="preserve"> For simplicity, a weight-based strategy of 25 mg/kg is advocated for the loading dose.       </w:t>
      </w:r>
    </w:p>
    <w:p w14:paraId="4F8B4220" w14:textId="7814E2B7" w:rsidR="002A324C" w:rsidRDefault="00681130">
      <w:pPr>
        <w:numPr>
          <w:ilvl w:val="0"/>
          <w:numId w:val="4"/>
        </w:numPr>
        <w:rPr>
          <w:rFonts w:asciiTheme="majorHAnsi" w:hAnsiTheme="majorHAnsi" w:cstheme="majorHAnsi"/>
        </w:rPr>
      </w:pPr>
      <w:r w:rsidRPr="005F3EFC">
        <w:rPr>
          <w:rFonts w:asciiTheme="majorHAnsi" w:hAnsiTheme="majorHAnsi" w:cstheme="majorHAnsi"/>
        </w:rPr>
        <w:t xml:space="preserve"> A 20 mg/kg loading dose instead of a 25 mg/kg loading dose should be considered for patients with renal dysfunction, including patients with AKI, patients on renal replacement therapy (e.g., CRRT, HD, PD), and with other end organ replacement therapy (e.g., Molecular Adsorbent Recirculating System (MARS)).  </w:t>
      </w:r>
      <w:r w:rsidRPr="006D38E0">
        <w:rPr>
          <w:rFonts w:asciiTheme="majorHAnsi" w:hAnsiTheme="majorHAnsi" w:cstheme="majorHAnsi"/>
          <w:highlight w:val="yellow"/>
        </w:rPr>
        <w:t>Maximum individual doses should be determined locally;</w:t>
      </w:r>
      <w:r w:rsidRPr="005F3EFC">
        <w:rPr>
          <w:rFonts w:asciiTheme="majorHAnsi" w:hAnsiTheme="majorHAnsi" w:cstheme="majorHAnsi"/>
        </w:rPr>
        <w:t xml:space="preserve"> the guidelines recommend a maximum 3 gm for loading doses. </w:t>
      </w:r>
      <w:r w:rsidR="00001F0E" w:rsidRPr="00001F0E">
        <w:rPr>
          <w:rFonts w:asciiTheme="majorHAnsi" w:hAnsiTheme="majorHAnsi" w:cstheme="majorHAnsi"/>
          <w:i/>
          <w:iCs/>
        </w:rPr>
        <w:t>EXAMPLE</w:t>
      </w:r>
      <w:r w:rsidR="00001F0E">
        <w:rPr>
          <w:rFonts w:asciiTheme="majorHAnsi" w:hAnsiTheme="majorHAnsi" w:cstheme="majorHAnsi"/>
        </w:rPr>
        <w:t xml:space="preserve"> table provided below.</w:t>
      </w:r>
    </w:p>
    <w:p w14:paraId="274E485D" w14:textId="082B2619" w:rsidR="00BB13E8" w:rsidRPr="005F3EFC" w:rsidRDefault="00BB13E8">
      <w:pPr>
        <w:numPr>
          <w:ilvl w:val="0"/>
          <w:numId w:val="4"/>
        </w:numPr>
        <w:rPr>
          <w:rFonts w:asciiTheme="majorHAnsi" w:hAnsiTheme="majorHAnsi" w:cstheme="majorHAnsi"/>
        </w:rPr>
      </w:pPr>
      <w:r>
        <w:rPr>
          <w:rFonts w:asciiTheme="majorHAnsi" w:hAnsiTheme="majorHAnsi" w:cstheme="majorHAnsi"/>
        </w:rPr>
        <w:t xml:space="preserve">The loading dose is considered the first dose </w:t>
      </w:r>
    </w:p>
    <w:tbl>
      <w:tblPr>
        <w:tblStyle w:val="TableGrid"/>
        <w:tblW w:w="0" w:type="auto"/>
        <w:tblLook w:val="04A0" w:firstRow="1" w:lastRow="0" w:firstColumn="1" w:lastColumn="0" w:noHBand="0" w:noVBand="1"/>
      </w:tblPr>
      <w:tblGrid>
        <w:gridCol w:w="2335"/>
        <w:gridCol w:w="2700"/>
        <w:gridCol w:w="4315"/>
      </w:tblGrid>
      <w:tr w:rsidR="004F7B84" w14:paraId="4E6EE3A4" w14:textId="77777777" w:rsidTr="004F7B84">
        <w:tc>
          <w:tcPr>
            <w:tcW w:w="2335" w:type="dxa"/>
          </w:tcPr>
          <w:p w14:paraId="4F6718B6" w14:textId="5F0BDC0D" w:rsidR="004F7B84" w:rsidRPr="004F7B84" w:rsidRDefault="004F7B84" w:rsidP="004F7B84">
            <w:pPr>
              <w:jc w:val="center"/>
              <w:rPr>
                <w:rFonts w:asciiTheme="majorHAnsi" w:hAnsiTheme="majorHAnsi" w:cstheme="majorHAnsi"/>
                <w:b/>
                <w:bCs/>
              </w:rPr>
            </w:pPr>
            <w:r w:rsidRPr="004F7B84">
              <w:rPr>
                <w:rFonts w:asciiTheme="majorHAnsi" w:hAnsiTheme="majorHAnsi" w:cstheme="majorHAnsi"/>
                <w:b/>
                <w:bCs/>
              </w:rPr>
              <w:t>Patient Weight</w:t>
            </w:r>
          </w:p>
        </w:tc>
        <w:tc>
          <w:tcPr>
            <w:tcW w:w="2700" w:type="dxa"/>
          </w:tcPr>
          <w:p w14:paraId="412BD64F" w14:textId="5CE0885A" w:rsidR="004F7B84" w:rsidRPr="004F7B84" w:rsidRDefault="004F7B84" w:rsidP="004F7B84">
            <w:pPr>
              <w:jc w:val="center"/>
              <w:rPr>
                <w:rFonts w:asciiTheme="majorHAnsi" w:hAnsiTheme="majorHAnsi" w:cstheme="majorHAnsi"/>
                <w:b/>
                <w:bCs/>
              </w:rPr>
            </w:pPr>
            <w:r w:rsidRPr="004F7B84">
              <w:rPr>
                <w:rFonts w:asciiTheme="majorHAnsi" w:hAnsiTheme="majorHAnsi" w:cstheme="majorHAnsi"/>
                <w:b/>
                <w:bCs/>
              </w:rPr>
              <w:t>Standard Loading Dose (~25 mg/kg total body weight)</w:t>
            </w:r>
          </w:p>
        </w:tc>
        <w:tc>
          <w:tcPr>
            <w:tcW w:w="4315" w:type="dxa"/>
          </w:tcPr>
          <w:p w14:paraId="3B287307" w14:textId="77777777" w:rsidR="004F7B84" w:rsidRPr="004F7B84" w:rsidRDefault="004F7B84" w:rsidP="004F7B84">
            <w:pPr>
              <w:jc w:val="center"/>
              <w:rPr>
                <w:rFonts w:asciiTheme="majorHAnsi" w:hAnsiTheme="majorHAnsi" w:cstheme="majorHAnsi"/>
                <w:b/>
                <w:bCs/>
              </w:rPr>
            </w:pPr>
            <w:r w:rsidRPr="004F7B84">
              <w:rPr>
                <w:rFonts w:asciiTheme="majorHAnsi" w:hAnsiTheme="majorHAnsi" w:cstheme="majorHAnsi"/>
                <w:b/>
                <w:bCs/>
              </w:rPr>
              <w:t>Modified Loading Dose (20-25 mg/kg total body weight)</w:t>
            </w:r>
          </w:p>
          <w:p w14:paraId="49C96685" w14:textId="6EDE99F2" w:rsidR="004F7B84" w:rsidRPr="004F7B84" w:rsidRDefault="004F7B84" w:rsidP="004F7B84">
            <w:pPr>
              <w:jc w:val="center"/>
              <w:rPr>
                <w:rFonts w:asciiTheme="majorHAnsi" w:hAnsiTheme="majorHAnsi" w:cstheme="majorHAnsi"/>
                <w:i/>
                <w:iCs/>
              </w:rPr>
            </w:pPr>
            <w:r w:rsidRPr="004F7B84">
              <w:rPr>
                <w:rFonts w:asciiTheme="majorHAnsi" w:hAnsiTheme="majorHAnsi" w:cstheme="majorHAnsi"/>
                <w:i/>
                <w:iCs/>
                <w:sz w:val="20"/>
                <w:szCs w:val="20"/>
              </w:rPr>
              <w:t>Obese (BMI ≥30), CrCl &lt;30 mL/min or AKI, IHD, CRRT, unavailable SCr in emergent situation</w:t>
            </w:r>
          </w:p>
        </w:tc>
      </w:tr>
      <w:tr w:rsidR="004F7B84" w14:paraId="0312ABC7" w14:textId="77777777" w:rsidTr="004F7B84">
        <w:tc>
          <w:tcPr>
            <w:tcW w:w="2335" w:type="dxa"/>
          </w:tcPr>
          <w:p w14:paraId="0F1FF6EE" w14:textId="656909CB" w:rsidR="004F7B84" w:rsidRDefault="004F7B84">
            <w:pPr>
              <w:rPr>
                <w:rFonts w:asciiTheme="majorHAnsi" w:hAnsiTheme="majorHAnsi" w:cstheme="majorHAnsi"/>
              </w:rPr>
            </w:pPr>
            <w:r>
              <w:rPr>
                <w:rFonts w:asciiTheme="majorHAnsi" w:hAnsiTheme="majorHAnsi" w:cstheme="majorHAnsi"/>
              </w:rPr>
              <w:t>36-45 kg</w:t>
            </w:r>
          </w:p>
        </w:tc>
        <w:tc>
          <w:tcPr>
            <w:tcW w:w="2700" w:type="dxa"/>
          </w:tcPr>
          <w:p w14:paraId="5850AE99" w14:textId="11C6ED4A" w:rsidR="004F7B84" w:rsidRDefault="004F7B84" w:rsidP="004F7B84">
            <w:pPr>
              <w:jc w:val="center"/>
              <w:rPr>
                <w:rFonts w:asciiTheme="majorHAnsi" w:hAnsiTheme="majorHAnsi" w:cstheme="majorHAnsi"/>
              </w:rPr>
            </w:pPr>
            <w:r>
              <w:rPr>
                <w:rFonts w:asciiTheme="majorHAnsi" w:hAnsiTheme="majorHAnsi" w:cstheme="majorHAnsi"/>
              </w:rPr>
              <w:t>1,000 mg x 1</w:t>
            </w:r>
          </w:p>
        </w:tc>
        <w:tc>
          <w:tcPr>
            <w:tcW w:w="4315" w:type="dxa"/>
          </w:tcPr>
          <w:p w14:paraId="2A470EE2" w14:textId="54FD909E" w:rsidR="004F7B84" w:rsidRDefault="004F7B84" w:rsidP="004F7B84">
            <w:pPr>
              <w:jc w:val="center"/>
              <w:rPr>
                <w:rFonts w:asciiTheme="majorHAnsi" w:hAnsiTheme="majorHAnsi" w:cstheme="majorHAnsi"/>
              </w:rPr>
            </w:pPr>
            <w:r>
              <w:rPr>
                <w:rFonts w:asciiTheme="majorHAnsi" w:hAnsiTheme="majorHAnsi" w:cstheme="majorHAnsi"/>
              </w:rPr>
              <w:t>750 mg x 1</w:t>
            </w:r>
          </w:p>
        </w:tc>
      </w:tr>
      <w:tr w:rsidR="004F7B84" w14:paraId="371D3F7D" w14:textId="77777777" w:rsidTr="004F7B84">
        <w:tc>
          <w:tcPr>
            <w:tcW w:w="2335" w:type="dxa"/>
          </w:tcPr>
          <w:p w14:paraId="7E54A331" w14:textId="2DEE0EA4" w:rsidR="004F7B84" w:rsidRDefault="004F7B84">
            <w:pPr>
              <w:rPr>
                <w:rFonts w:asciiTheme="majorHAnsi" w:hAnsiTheme="majorHAnsi" w:cstheme="majorHAnsi"/>
              </w:rPr>
            </w:pPr>
            <w:r>
              <w:rPr>
                <w:rFonts w:asciiTheme="majorHAnsi" w:hAnsiTheme="majorHAnsi" w:cstheme="majorHAnsi"/>
              </w:rPr>
              <w:t xml:space="preserve">46-55 kg </w:t>
            </w:r>
          </w:p>
        </w:tc>
        <w:tc>
          <w:tcPr>
            <w:tcW w:w="2700" w:type="dxa"/>
          </w:tcPr>
          <w:p w14:paraId="10058DF6" w14:textId="300815E4" w:rsidR="004F7B84" w:rsidRDefault="004F7B84" w:rsidP="004F7B84">
            <w:pPr>
              <w:jc w:val="center"/>
              <w:rPr>
                <w:rFonts w:asciiTheme="majorHAnsi" w:hAnsiTheme="majorHAnsi" w:cstheme="majorHAnsi"/>
              </w:rPr>
            </w:pPr>
            <w:r>
              <w:rPr>
                <w:rFonts w:asciiTheme="majorHAnsi" w:hAnsiTheme="majorHAnsi" w:cstheme="majorHAnsi"/>
              </w:rPr>
              <w:t>1,250 mg x 1</w:t>
            </w:r>
          </w:p>
        </w:tc>
        <w:tc>
          <w:tcPr>
            <w:tcW w:w="4315" w:type="dxa"/>
          </w:tcPr>
          <w:p w14:paraId="4023C3D9" w14:textId="54E1CF10" w:rsidR="004F7B84" w:rsidRDefault="004F7B84" w:rsidP="004F7B84">
            <w:pPr>
              <w:jc w:val="center"/>
              <w:rPr>
                <w:rFonts w:asciiTheme="majorHAnsi" w:hAnsiTheme="majorHAnsi" w:cstheme="majorHAnsi"/>
              </w:rPr>
            </w:pPr>
            <w:r>
              <w:rPr>
                <w:rFonts w:asciiTheme="majorHAnsi" w:hAnsiTheme="majorHAnsi" w:cstheme="majorHAnsi"/>
              </w:rPr>
              <w:t>1,000 mg x 1</w:t>
            </w:r>
          </w:p>
        </w:tc>
      </w:tr>
      <w:tr w:rsidR="004F7B84" w14:paraId="6F938975" w14:textId="77777777" w:rsidTr="004F7B84">
        <w:tc>
          <w:tcPr>
            <w:tcW w:w="2335" w:type="dxa"/>
          </w:tcPr>
          <w:p w14:paraId="78196836" w14:textId="6607519C" w:rsidR="004F7B84" w:rsidRDefault="004F7B84">
            <w:pPr>
              <w:rPr>
                <w:rFonts w:asciiTheme="majorHAnsi" w:hAnsiTheme="majorHAnsi" w:cstheme="majorHAnsi"/>
              </w:rPr>
            </w:pPr>
            <w:r>
              <w:rPr>
                <w:rFonts w:asciiTheme="majorHAnsi" w:hAnsiTheme="majorHAnsi" w:cstheme="majorHAnsi"/>
              </w:rPr>
              <w:t>56-65 kg</w:t>
            </w:r>
          </w:p>
        </w:tc>
        <w:tc>
          <w:tcPr>
            <w:tcW w:w="2700" w:type="dxa"/>
          </w:tcPr>
          <w:p w14:paraId="01BFDC9A" w14:textId="312824F4" w:rsidR="004F7B84" w:rsidRDefault="004F7B84" w:rsidP="004F7B84">
            <w:pPr>
              <w:jc w:val="center"/>
              <w:rPr>
                <w:rFonts w:asciiTheme="majorHAnsi" w:hAnsiTheme="majorHAnsi" w:cstheme="majorHAnsi"/>
              </w:rPr>
            </w:pPr>
            <w:r>
              <w:rPr>
                <w:rFonts w:asciiTheme="majorHAnsi" w:hAnsiTheme="majorHAnsi" w:cstheme="majorHAnsi"/>
              </w:rPr>
              <w:t>1,500 mg x 1</w:t>
            </w:r>
          </w:p>
        </w:tc>
        <w:tc>
          <w:tcPr>
            <w:tcW w:w="4315" w:type="dxa"/>
          </w:tcPr>
          <w:p w14:paraId="387EB286" w14:textId="4AF06BA6" w:rsidR="004F7B84" w:rsidRDefault="004F7B84" w:rsidP="004F7B84">
            <w:pPr>
              <w:jc w:val="center"/>
              <w:rPr>
                <w:rFonts w:asciiTheme="majorHAnsi" w:hAnsiTheme="majorHAnsi" w:cstheme="majorHAnsi"/>
              </w:rPr>
            </w:pPr>
            <w:r>
              <w:rPr>
                <w:rFonts w:asciiTheme="majorHAnsi" w:hAnsiTheme="majorHAnsi" w:cstheme="majorHAnsi"/>
              </w:rPr>
              <w:t>1,250 mg x 1</w:t>
            </w:r>
          </w:p>
        </w:tc>
      </w:tr>
      <w:tr w:rsidR="004F7B84" w14:paraId="258C6B5D" w14:textId="77777777" w:rsidTr="004F7B84">
        <w:tc>
          <w:tcPr>
            <w:tcW w:w="2335" w:type="dxa"/>
          </w:tcPr>
          <w:p w14:paraId="0A0D48FD" w14:textId="5380DA80" w:rsidR="004F7B84" w:rsidRDefault="004F7B84">
            <w:pPr>
              <w:rPr>
                <w:rFonts w:asciiTheme="majorHAnsi" w:hAnsiTheme="majorHAnsi" w:cstheme="majorHAnsi"/>
              </w:rPr>
            </w:pPr>
            <w:r>
              <w:rPr>
                <w:rFonts w:asciiTheme="majorHAnsi" w:hAnsiTheme="majorHAnsi" w:cstheme="majorHAnsi"/>
              </w:rPr>
              <w:t>66-75 kg</w:t>
            </w:r>
          </w:p>
        </w:tc>
        <w:tc>
          <w:tcPr>
            <w:tcW w:w="2700" w:type="dxa"/>
          </w:tcPr>
          <w:p w14:paraId="3AB5D293" w14:textId="055A6C98" w:rsidR="004F7B84" w:rsidRDefault="004F7B84" w:rsidP="004F7B84">
            <w:pPr>
              <w:jc w:val="center"/>
              <w:rPr>
                <w:rFonts w:asciiTheme="majorHAnsi" w:hAnsiTheme="majorHAnsi" w:cstheme="majorHAnsi"/>
              </w:rPr>
            </w:pPr>
            <w:r>
              <w:rPr>
                <w:rFonts w:asciiTheme="majorHAnsi" w:hAnsiTheme="majorHAnsi" w:cstheme="majorHAnsi"/>
              </w:rPr>
              <w:t>1,750 mg x 1</w:t>
            </w:r>
          </w:p>
        </w:tc>
        <w:tc>
          <w:tcPr>
            <w:tcW w:w="4315" w:type="dxa"/>
          </w:tcPr>
          <w:p w14:paraId="6C5C21DF" w14:textId="3473826E" w:rsidR="004F7B84" w:rsidRDefault="004F7B84" w:rsidP="004F7B84">
            <w:pPr>
              <w:jc w:val="center"/>
              <w:rPr>
                <w:rFonts w:asciiTheme="majorHAnsi" w:hAnsiTheme="majorHAnsi" w:cstheme="majorHAnsi"/>
              </w:rPr>
            </w:pPr>
            <w:r>
              <w:rPr>
                <w:rFonts w:asciiTheme="majorHAnsi" w:hAnsiTheme="majorHAnsi" w:cstheme="majorHAnsi"/>
              </w:rPr>
              <w:t>1,500 mg x 1</w:t>
            </w:r>
          </w:p>
        </w:tc>
      </w:tr>
      <w:tr w:rsidR="004F7B84" w14:paraId="29F32A4D" w14:textId="77777777" w:rsidTr="004F7B84">
        <w:tc>
          <w:tcPr>
            <w:tcW w:w="2335" w:type="dxa"/>
          </w:tcPr>
          <w:p w14:paraId="16FF924C" w14:textId="6CE30E3D" w:rsidR="004F7B84" w:rsidRDefault="004F7B84">
            <w:pPr>
              <w:rPr>
                <w:rFonts w:asciiTheme="majorHAnsi" w:hAnsiTheme="majorHAnsi" w:cstheme="majorHAnsi"/>
              </w:rPr>
            </w:pPr>
            <w:r>
              <w:rPr>
                <w:rFonts w:asciiTheme="majorHAnsi" w:hAnsiTheme="majorHAnsi" w:cstheme="majorHAnsi"/>
              </w:rPr>
              <w:t>76-120 kg</w:t>
            </w:r>
          </w:p>
        </w:tc>
        <w:tc>
          <w:tcPr>
            <w:tcW w:w="2700" w:type="dxa"/>
          </w:tcPr>
          <w:p w14:paraId="659C3A55" w14:textId="1B1A91CB" w:rsidR="004F7B84" w:rsidRDefault="004F7B84" w:rsidP="004F7B84">
            <w:pPr>
              <w:jc w:val="center"/>
              <w:rPr>
                <w:rFonts w:asciiTheme="majorHAnsi" w:hAnsiTheme="majorHAnsi" w:cstheme="majorHAnsi"/>
              </w:rPr>
            </w:pPr>
            <w:r>
              <w:rPr>
                <w:rFonts w:asciiTheme="majorHAnsi" w:hAnsiTheme="majorHAnsi" w:cstheme="majorHAnsi"/>
              </w:rPr>
              <w:t>2,000 mg x 1</w:t>
            </w:r>
          </w:p>
        </w:tc>
        <w:tc>
          <w:tcPr>
            <w:tcW w:w="4315" w:type="dxa"/>
          </w:tcPr>
          <w:p w14:paraId="3576CF15" w14:textId="147A10F0" w:rsidR="004F7B84" w:rsidRDefault="004F7B84" w:rsidP="004F7B84">
            <w:pPr>
              <w:jc w:val="center"/>
              <w:rPr>
                <w:rFonts w:asciiTheme="majorHAnsi" w:hAnsiTheme="majorHAnsi" w:cstheme="majorHAnsi"/>
              </w:rPr>
            </w:pPr>
            <w:r>
              <w:rPr>
                <w:rFonts w:asciiTheme="majorHAnsi" w:hAnsiTheme="majorHAnsi" w:cstheme="majorHAnsi"/>
              </w:rPr>
              <w:t>1,750 mg x 1</w:t>
            </w:r>
          </w:p>
        </w:tc>
      </w:tr>
      <w:tr w:rsidR="004F7B84" w14:paraId="71B311C0" w14:textId="77777777" w:rsidTr="004F7B84">
        <w:tc>
          <w:tcPr>
            <w:tcW w:w="2335" w:type="dxa"/>
          </w:tcPr>
          <w:p w14:paraId="722C4AD1" w14:textId="210382B6" w:rsidR="004F7B84" w:rsidRDefault="004F7B84">
            <w:pPr>
              <w:rPr>
                <w:rFonts w:asciiTheme="majorHAnsi" w:hAnsiTheme="majorHAnsi" w:cstheme="majorHAnsi"/>
              </w:rPr>
            </w:pPr>
            <w:r>
              <w:rPr>
                <w:rFonts w:asciiTheme="majorHAnsi" w:hAnsiTheme="majorHAnsi" w:cstheme="majorHAnsi"/>
              </w:rPr>
              <w:t>&gt;120 kg</w:t>
            </w:r>
          </w:p>
        </w:tc>
        <w:tc>
          <w:tcPr>
            <w:tcW w:w="2700" w:type="dxa"/>
          </w:tcPr>
          <w:p w14:paraId="283F2645" w14:textId="50213D70" w:rsidR="004F7B84" w:rsidRDefault="004F7B84" w:rsidP="004F7B84">
            <w:pPr>
              <w:jc w:val="center"/>
              <w:rPr>
                <w:rFonts w:asciiTheme="majorHAnsi" w:hAnsiTheme="majorHAnsi" w:cstheme="majorHAnsi"/>
              </w:rPr>
            </w:pPr>
            <w:r>
              <w:rPr>
                <w:rFonts w:asciiTheme="majorHAnsi" w:hAnsiTheme="majorHAnsi" w:cstheme="majorHAnsi"/>
              </w:rPr>
              <w:t>2,000 – 3,000 mg x 1</w:t>
            </w:r>
          </w:p>
        </w:tc>
        <w:tc>
          <w:tcPr>
            <w:tcW w:w="4315" w:type="dxa"/>
          </w:tcPr>
          <w:p w14:paraId="19ABDFBD" w14:textId="26BE8C84" w:rsidR="004F7B84" w:rsidRDefault="004F7B84" w:rsidP="004F7B84">
            <w:pPr>
              <w:jc w:val="center"/>
              <w:rPr>
                <w:rFonts w:asciiTheme="majorHAnsi" w:hAnsiTheme="majorHAnsi" w:cstheme="majorHAnsi"/>
              </w:rPr>
            </w:pPr>
            <w:r>
              <w:rPr>
                <w:rFonts w:asciiTheme="majorHAnsi" w:hAnsiTheme="majorHAnsi" w:cstheme="majorHAnsi"/>
              </w:rPr>
              <w:t>2,000 mg x 1</w:t>
            </w:r>
          </w:p>
        </w:tc>
      </w:tr>
      <w:tr w:rsidR="004F7B84" w14:paraId="06C2315D" w14:textId="77777777" w:rsidTr="004F7B84">
        <w:tc>
          <w:tcPr>
            <w:tcW w:w="9350" w:type="dxa"/>
            <w:gridSpan w:val="3"/>
          </w:tcPr>
          <w:p w14:paraId="140B0B6E" w14:textId="67DF2C82" w:rsidR="004F7B84" w:rsidRPr="004F7B84" w:rsidRDefault="004F7B84" w:rsidP="004F7B84">
            <w:pPr>
              <w:rPr>
                <w:rFonts w:asciiTheme="majorHAnsi" w:hAnsiTheme="majorHAnsi" w:cstheme="majorHAnsi"/>
                <w:sz w:val="18"/>
                <w:szCs w:val="18"/>
              </w:rPr>
            </w:pPr>
            <w:r>
              <w:rPr>
                <w:rFonts w:asciiTheme="majorHAnsi" w:hAnsiTheme="majorHAnsi" w:cstheme="majorHAnsi"/>
                <w:sz w:val="18"/>
                <w:szCs w:val="18"/>
              </w:rPr>
              <w:t xml:space="preserve">Time maintenance doses to start based on renal function/planned dosing interval (e.g., wait 24 hours to start maintenance regimen if CrCl = 30 and maintenance dosing interval q24h). </w:t>
            </w:r>
          </w:p>
        </w:tc>
      </w:tr>
    </w:tbl>
    <w:p w14:paraId="2C74AC0E" w14:textId="77777777" w:rsidR="002A324C" w:rsidRPr="005F3EFC" w:rsidRDefault="002A324C">
      <w:pPr>
        <w:rPr>
          <w:rFonts w:asciiTheme="majorHAnsi" w:hAnsiTheme="majorHAnsi" w:cstheme="majorHAnsi"/>
        </w:rPr>
      </w:pPr>
    </w:p>
    <w:p w14:paraId="12F9542E" w14:textId="77777777" w:rsidR="002A324C" w:rsidRPr="006E0618" w:rsidRDefault="00681130" w:rsidP="00B56C7C">
      <w:pPr>
        <w:pStyle w:val="Heading2"/>
        <w:rPr>
          <w:rFonts w:asciiTheme="majorHAnsi" w:hAnsiTheme="majorHAnsi" w:cstheme="majorHAnsi"/>
          <w:b/>
          <w:bCs/>
        </w:rPr>
      </w:pPr>
      <w:bookmarkStart w:id="4" w:name="_Toc63242825"/>
      <w:r w:rsidRPr="006E0618">
        <w:rPr>
          <w:rFonts w:asciiTheme="majorHAnsi" w:hAnsiTheme="majorHAnsi" w:cstheme="majorHAnsi"/>
          <w:b/>
          <w:bCs/>
        </w:rPr>
        <w:t>Vancomycin AUC-Guided Dosing &amp; Monitoring</w:t>
      </w:r>
      <w:bookmarkEnd w:id="4"/>
    </w:p>
    <w:p w14:paraId="021F19F1" w14:textId="77777777" w:rsidR="002A324C" w:rsidRPr="005F3EFC" w:rsidRDefault="00681130" w:rsidP="006E0618">
      <w:pPr>
        <w:numPr>
          <w:ilvl w:val="1"/>
          <w:numId w:val="10"/>
        </w:numPr>
        <w:ind w:left="360"/>
        <w:rPr>
          <w:rFonts w:asciiTheme="majorHAnsi" w:hAnsiTheme="majorHAnsi" w:cstheme="majorHAnsi"/>
        </w:rPr>
      </w:pPr>
      <w:r w:rsidRPr="005F3EFC">
        <w:rPr>
          <w:rFonts w:asciiTheme="majorHAnsi" w:hAnsiTheme="majorHAnsi" w:cstheme="majorHAnsi"/>
        </w:rPr>
        <w:t>Empiric AUC-Guided Dosing</w:t>
      </w:r>
    </w:p>
    <w:p w14:paraId="7E32F2FC" w14:textId="3CEE4674" w:rsidR="002A324C" w:rsidRPr="005F3EFC" w:rsidRDefault="00681130" w:rsidP="006E0618">
      <w:pPr>
        <w:numPr>
          <w:ilvl w:val="2"/>
          <w:numId w:val="10"/>
        </w:numPr>
        <w:ind w:left="1080"/>
        <w:rPr>
          <w:rFonts w:asciiTheme="majorHAnsi" w:hAnsiTheme="majorHAnsi" w:cstheme="majorHAnsi"/>
        </w:rPr>
      </w:pPr>
      <w:r w:rsidRPr="005F3EFC">
        <w:rPr>
          <w:rFonts w:asciiTheme="majorHAnsi" w:hAnsiTheme="majorHAnsi" w:cstheme="majorHAnsi"/>
        </w:rPr>
        <w:t>Vancomycin doses should be calculated to target an AUC</w:t>
      </w:r>
      <w:r w:rsidRPr="005F3EFC">
        <w:rPr>
          <w:rFonts w:asciiTheme="majorHAnsi" w:hAnsiTheme="majorHAnsi" w:cstheme="majorHAnsi"/>
          <w:vertAlign w:val="subscript"/>
        </w:rPr>
        <w:t>24</w:t>
      </w:r>
      <w:r w:rsidRPr="005F3EFC">
        <w:rPr>
          <w:rFonts w:asciiTheme="majorHAnsi" w:hAnsiTheme="majorHAnsi" w:cstheme="majorHAnsi"/>
        </w:rPr>
        <w:t xml:space="preserve"> of </w:t>
      </w:r>
      <w:r w:rsidRPr="005F3EFC">
        <w:rPr>
          <w:rFonts w:asciiTheme="majorHAnsi" w:eastAsia="Arial Unicode MS" w:hAnsiTheme="majorHAnsi" w:cstheme="majorHAnsi"/>
        </w:rPr>
        <w:t>≥</w:t>
      </w:r>
      <w:r w:rsidRPr="005F3EFC">
        <w:rPr>
          <w:rFonts w:asciiTheme="majorHAnsi" w:hAnsiTheme="majorHAnsi" w:cstheme="majorHAnsi"/>
        </w:rPr>
        <w:t>400</w:t>
      </w:r>
      <w:r w:rsidR="00EC50A3">
        <w:rPr>
          <w:rFonts w:asciiTheme="majorHAnsi" w:hAnsiTheme="majorHAnsi" w:cstheme="majorHAnsi"/>
        </w:rPr>
        <w:t xml:space="preserve"> </w:t>
      </w:r>
      <w:r w:rsidR="00EC50A3" w:rsidRPr="005F3EFC">
        <w:rPr>
          <w:rFonts w:asciiTheme="majorHAnsi" w:hAnsiTheme="majorHAnsi" w:cstheme="majorHAnsi"/>
        </w:rPr>
        <w:t>mcg*h/mL</w:t>
      </w:r>
      <w:r w:rsidRPr="005F3EFC">
        <w:rPr>
          <w:rFonts w:asciiTheme="majorHAnsi" w:hAnsiTheme="majorHAnsi" w:cstheme="majorHAnsi"/>
        </w:rPr>
        <w:t xml:space="preserve"> (ideal range 400-600</w:t>
      </w:r>
      <w:r w:rsidR="00EC50A3">
        <w:rPr>
          <w:rFonts w:asciiTheme="majorHAnsi" w:hAnsiTheme="majorHAnsi" w:cstheme="majorHAnsi"/>
        </w:rPr>
        <w:t xml:space="preserve"> </w:t>
      </w:r>
      <w:r w:rsidR="00EC50A3" w:rsidRPr="005F3EFC">
        <w:rPr>
          <w:rFonts w:asciiTheme="majorHAnsi" w:hAnsiTheme="majorHAnsi" w:cstheme="majorHAnsi"/>
        </w:rPr>
        <w:t>mcg*h/mL</w:t>
      </w:r>
      <w:r w:rsidRPr="005F3EFC">
        <w:rPr>
          <w:rFonts w:asciiTheme="majorHAnsi" w:hAnsiTheme="majorHAnsi" w:cstheme="majorHAnsi"/>
        </w:rPr>
        <w:t>).</w:t>
      </w:r>
    </w:p>
    <w:p w14:paraId="03A0B5D9" w14:textId="77777777" w:rsidR="002A324C" w:rsidRPr="005F3EFC" w:rsidRDefault="00681130" w:rsidP="006E0618">
      <w:pPr>
        <w:numPr>
          <w:ilvl w:val="2"/>
          <w:numId w:val="10"/>
        </w:numPr>
        <w:ind w:left="1080"/>
        <w:rPr>
          <w:rFonts w:asciiTheme="majorHAnsi" w:hAnsiTheme="majorHAnsi" w:cstheme="majorHAnsi"/>
        </w:rPr>
      </w:pPr>
      <w:r w:rsidRPr="005F3EFC">
        <w:rPr>
          <w:rFonts w:asciiTheme="majorHAnsi" w:hAnsiTheme="majorHAnsi" w:cstheme="majorHAnsi"/>
        </w:rPr>
        <w:t xml:space="preserve">Two strategies - First Order Equations and Bayesian </w:t>
      </w:r>
    </w:p>
    <w:p w14:paraId="476CF975" w14:textId="49BB9920" w:rsidR="002A324C" w:rsidRPr="005F3EFC" w:rsidRDefault="00681130" w:rsidP="006E0618">
      <w:pPr>
        <w:numPr>
          <w:ilvl w:val="1"/>
          <w:numId w:val="10"/>
        </w:numPr>
        <w:rPr>
          <w:rFonts w:asciiTheme="majorHAnsi" w:hAnsiTheme="majorHAnsi" w:cstheme="majorHAnsi"/>
        </w:rPr>
      </w:pPr>
      <w:r w:rsidRPr="005F3EFC">
        <w:rPr>
          <w:rFonts w:asciiTheme="majorHAnsi" w:hAnsiTheme="majorHAnsi" w:cstheme="majorHAnsi"/>
        </w:rPr>
        <w:t>Initial patient</w:t>
      </w:r>
      <w:r w:rsidR="00C04146">
        <w:rPr>
          <w:rFonts w:asciiTheme="majorHAnsi" w:hAnsiTheme="majorHAnsi" w:cstheme="majorHAnsi"/>
        </w:rPr>
        <w:t>-</w:t>
      </w:r>
      <w:r w:rsidRPr="005F3EFC">
        <w:rPr>
          <w:rFonts w:asciiTheme="majorHAnsi" w:hAnsiTheme="majorHAnsi" w:cstheme="majorHAnsi"/>
        </w:rPr>
        <w:t xml:space="preserve">specific dosing recommendations can be </w:t>
      </w:r>
      <w:r w:rsidR="00C04146">
        <w:rPr>
          <w:rFonts w:asciiTheme="majorHAnsi" w:hAnsiTheme="majorHAnsi" w:cstheme="majorHAnsi"/>
        </w:rPr>
        <w:t xml:space="preserve">made </w:t>
      </w:r>
      <w:r w:rsidRPr="005F3EFC">
        <w:rPr>
          <w:rFonts w:asciiTheme="majorHAnsi" w:hAnsiTheme="majorHAnsi" w:cstheme="majorHAnsi"/>
        </w:rPr>
        <w:t>using first-order equations based on population-PK to determine an initial starting dose (Appendix 1)</w:t>
      </w:r>
    </w:p>
    <w:p w14:paraId="3AAADD1D" w14:textId="65F68979" w:rsidR="002A324C" w:rsidRDefault="00681130" w:rsidP="006E0618">
      <w:pPr>
        <w:numPr>
          <w:ilvl w:val="1"/>
          <w:numId w:val="10"/>
        </w:numPr>
        <w:rPr>
          <w:rFonts w:asciiTheme="majorHAnsi" w:hAnsiTheme="majorHAnsi" w:cstheme="majorHAnsi"/>
        </w:rPr>
      </w:pPr>
      <w:r w:rsidRPr="005F3EFC">
        <w:rPr>
          <w:rFonts w:asciiTheme="majorHAnsi" w:hAnsiTheme="majorHAnsi" w:cstheme="majorHAnsi"/>
        </w:rPr>
        <w:t>Initial patient specific dosing recommendations using Bayesian software will be based on patient specific factors (</w:t>
      </w:r>
      <w:r w:rsidR="006E0618">
        <w:rPr>
          <w:rFonts w:asciiTheme="majorHAnsi" w:hAnsiTheme="majorHAnsi" w:cstheme="majorHAnsi"/>
        </w:rPr>
        <w:t>e.g.,</w:t>
      </w:r>
      <w:r w:rsidRPr="005F3EFC">
        <w:rPr>
          <w:rFonts w:asciiTheme="majorHAnsi" w:hAnsiTheme="majorHAnsi" w:cstheme="majorHAnsi"/>
        </w:rPr>
        <w:t xml:space="preserve"> age, gender, height, weight, S</w:t>
      </w:r>
      <w:r w:rsidR="006E0618">
        <w:rPr>
          <w:rFonts w:asciiTheme="majorHAnsi" w:hAnsiTheme="majorHAnsi" w:cstheme="majorHAnsi"/>
        </w:rPr>
        <w:t>C</w:t>
      </w:r>
      <w:r w:rsidRPr="005F3EFC">
        <w:rPr>
          <w:rFonts w:asciiTheme="majorHAnsi" w:hAnsiTheme="majorHAnsi" w:cstheme="majorHAnsi"/>
        </w:rPr>
        <w:t>r) inputted into a population PK model. Depending on the Bayesian software program used, the population model is different and may be able to be modified with each new patient</w:t>
      </w:r>
      <w:r w:rsidR="00C04146">
        <w:rPr>
          <w:rFonts w:asciiTheme="majorHAnsi" w:hAnsiTheme="majorHAnsi" w:cstheme="majorHAnsi"/>
        </w:rPr>
        <w:t xml:space="preserve"> (i.e., some programs allow you to pick from more than one model).</w:t>
      </w:r>
    </w:p>
    <w:p w14:paraId="3EE509ED" w14:textId="77777777" w:rsidR="006E0618" w:rsidRDefault="006E0618" w:rsidP="006E0618">
      <w:pPr>
        <w:numPr>
          <w:ilvl w:val="0"/>
          <w:numId w:val="1"/>
        </w:numPr>
        <w:rPr>
          <w:rFonts w:asciiTheme="majorHAnsi" w:hAnsiTheme="majorHAnsi" w:cstheme="majorHAnsi"/>
        </w:rPr>
      </w:pPr>
      <w:r>
        <w:rPr>
          <w:rFonts w:asciiTheme="majorHAnsi" w:hAnsiTheme="majorHAnsi" w:cstheme="majorHAnsi"/>
        </w:rPr>
        <w:t xml:space="preserve">Vancomycin can also be given as a continuous infusion. </w:t>
      </w:r>
    </w:p>
    <w:p w14:paraId="578DCA8E" w14:textId="5993C829" w:rsidR="006E0618" w:rsidRPr="005F3EFC" w:rsidRDefault="006E0618" w:rsidP="006E0618">
      <w:pPr>
        <w:numPr>
          <w:ilvl w:val="1"/>
          <w:numId w:val="1"/>
        </w:numPr>
        <w:rPr>
          <w:rFonts w:asciiTheme="majorHAnsi" w:hAnsiTheme="majorHAnsi" w:cstheme="majorHAnsi"/>
        </w:rPr>
      </w:pPr>
      <w:r w:rsidRPr="005F3EFC">
        <w:rPr>
          <w:rFonts w:asciiTheme="majorHAnsi" w:hAnsiTheme="majorHAnsi" w:cstheme="majorHAnsi"/>
        </w:rPr>
        <w:t>Starting a patient on CI vancomycin</w:t>
      </w:r>
    </w:p>
    <w:p w14:paraId="75A09388" w14:textId="2C2365CB" w:rsidR="006E0618" w:rsidRPr="005F3EFC" w:rsidRDefault="006E0618" w:rsidP="006E0618">
      <w:pPr>
        <w:numPr>
          <w:ilvl w:val="2"/>
          <w:numId w:val="1"/>
        </w:numPr>
        <w:rPr>
          <w:rFonts w:asciiTheme="majorHAnsi" w:hAnsiTheme="majorHAnsi" w:cstheme="majorHAnsi"/>
        </w:rPr>
      </w:pPr>
      <w:r w:rsidRPr="005F3EFC">
        <w:rPr>
          <w:rFonts w:asciiTheme="majorHAnsi" w:hAnsiTheme="majorHAnsi" w:cstheme="majorHAnsi"/>
        </w:rPr>
        <w:lastRenderedPageBreak/>
        <w:t xml:space="preserve">Based on currently available data, a loading dose of 15 to 20 mg/kg, followed by daily maintenance CI of 30 to 40 mg/kg (up to 60 mg/kg) to achieve a target steady-state concentration of 20 to 25 mcg/mL </w:t>
      </w:r>
      <w:r w:rsidR="002B3F15">
        <w:rPr>
          <w:rFonts w:asciiTheme="majorHAnsi" w:hAnsiTheme="majorHAnsi" w:cstheme="majorHAnsi"/>
        </w:rPr>
        <w:t>(AUC of 480-600)</w:t>
      </w:r>
    </w:p>
    <w:p w14:paraId="0A6A2DC8" w14:textId="2C48C277" w:rsidR="006E0618" w:rsidRPr="005F3EFC" w:rsidRDefault="006E0618" w:rsidP="006E0618">
      <w:pPr>
        <w:ind w:left="720"/>
        <w:rPr>
          <w:rFonts w:asciiTheme="majorHAnsi" w:hAnsiTheme="majorHAnsi" w:cstheme="majorHAnsi"/>
        </w:rPr>
      </w:pPr>
    </w:p>
    <w:p w14:paraId="47F172AF" w14:textId="77777777" w:rsidR="002A324C" w:rsidRPr="006E0618" w:rsidRDefault="00681130" w:rsidP="006E0618">
      <w:pPr>
        <w:numPr>
          <w:ilvl w:val="1"/>
          <w:numId w:val="10"/>
        </w:numPr>
        <w:ind w:left="360"/>
        <w:rPr>
          <w:rFonts w:asciiTheme="majorHAnsi" w:hAnsiTheme="majorHAnsi" w:cstheme="majorHAnsi"/>
          <w:b/>
          <w:bCs/>
        </w:rPr>
      </w:pPr>
      <w:r w:rsidRPr="006E0618">
        <w:rPr>
          <w:rFonts w:asciiTheme="majorHAnsi" w:hAnsiTheme="majorHAnsi" w:cstheme="majorHAnsi"/>
          <w:b/>
          <w:bCs/>
        </w:rPr>
        <w:t>Therapeutic Drug Monitoring - First Order Equations</w:t>
      </w:r>
    </w:p>
    <w:p w14:paraId="14C9728D" w14:textId="2C0CF382" w:rsidR="002A324C" w:rsidRPr="005F3EFC" w:rsidRDefault="00681130" w:rsidP="006E0618">
      <w:pPr>
        <w:numPr>
          <w:ilvl w:val="2"/>
          <w:numId w:val="10"/>
        </w:numPr>
        <w:ind w:left="1080"/>
        <w:rPr>
          <w:rFonts w:asciiTheme="majorHAnsi" w:hAnsiTheme="majorHAnsi" w:cstheme="majorHAnsi"/>
        </w:rPr>
      </w:pPr>
      <w:r w:rsidRPr="005F3EFC">
        <w:rPr>
          <w:rFonts w:asciiTheme="majorHAnsi" w:hAnsiTheme="majorHAnsi" w:cstheme="majorHAnsi"/>
        </w:rPr>
        <w:t>AUC</w:t>
      </w:r>
      <w:r w:rsidRPr="005F3EFC">
        <w:rPr>
          <w:rFonts w:asciiTheme="majorHAnsi" w:hAnsiTheme="majorHAnsi" w:cstheme="majorHAnsi"/>
          <w:vertAlign w:val="subscript"/>
        </w:rPr>
        <w:t>24</w:t>
      </w:r>
      <w:r w:rsidRPr="005F3EFC">
        <w:rPr>
          <w:rFonts w:asciiTheme="majorHAnsi" w:eastAsia="Arial Unicode MS" w:hAnsiTheme="majorHAnsi" w:cstheme="majorHAnsi"/>
        </w:rPr>
        <w:t xml:space="preserve"> can be accurately calculated based on individual PK parameters derived from 2 appropriately timed serum concentrations. </w:t>
      </w:r>
      <w:r w:rsidR="00801263" w:rsidRPr="00801263">
        <w:rPr>
          <w:rFonts w:asciiTheme="majorHAnsi" w:hAnsiTheme="majorHAnsi" w:cstheme="majorHAnsi"/>
        </w:rPr>
        <w:t>When drawing 2 levels, both levels should be drawn following the same dose with the first level being drawn approximately 2 hours after the completion of the infusion (</w:t>
      </w:r>
      <w:r w:rsidR="004F7B84">
        <w:rPr>
          <w:rFonts w:asciiTheme="majorHAnsi" w:hAnsiTheme="majorHAnsi" w:cstheme="majorHAnsi"/>
        </w:rPr>
        <w:t>to</w:t>
      </w:r>
      <w:r w:rsidR="00801263" w:rsidRPr="00801263">
        <w:rPr>
          <w:rFonts w:asciiTheme="majorHAnsi" w:hAnsiTheme="majorHAnsi" w:cstheme="majorHAnsi"/>
        </w:rPr>
        <w:t xml:space="preserve"> allow for the completion of the infusion and distribution) and the second level drawn at least 1 half-life after the first level.</w:t>
      </w:r>
      <w:r w:rsidRPr="00801263">
        <w:rPr>
          <w:rFonts w:asciiTheme="majorHAnsi" w:eastAsia="Arial Unicode MS" w:hAnsiTheme="majorHAnsi" w:cstheme="majorHAnsi"/>
          <w:sz w:val="24"/>
        </w:rPr>
        <w:t xml:space="preserve"> </w:t>
      </w:r>
      <w:r w:rsidRPr="005F3EFC">
        <w:rPr>
          <w:rFonts w:asciiTheme="majorHAnsi" w:eastAsia="Arial Unicode MS" w:hAnsiTheme="majorHAnsi" w:cstheme="majorHAnsi"/>
        </w:rPr>
        <w:t xml:space="preserve">Levels should be drawn with ≥1 half-lives between each level (a </w:t>
      </w:r>
      <w:r w:rsidRPr="005F3EFC">
        <w:rPr>
          <w:rFonts w:asciiTheme="majorHAnsi" w:hAnsiTheme="majorHAnsi" w:cstheme="majorHAnsi"/>
          <w:i/>
        </w:rPr>
        <w:t>minimum</w:t>
      </w:r>
      <w:r w:rsidRPr="005F3EFC">
        <w:rPr>
          <w:rFonts w:asciiTheme="majorHAnsi" w:hAnsiTheme="majorHAnsi" w:cstheme="majorHAnsi"/>
        </w:rPr>
        <w:t xml:space="preserve"> of 4 hours).  If drawn too close together, the calculated k</w:t>
      </w:r>
      <w:r w:rsidRPr="005F3EFC">
        <w:rPr>
          <w:rFonts w:asciiTheme="majorHAnsi" w:hAnsiTheme="majorHAnsi" w:cstheme="majorHAnsi"/>
          <w:vertAlign w:val="subscript"/>
        </w:rPr>
        <w:t>e</w:t>
      </w:r>
      <w:r w:rsidRPr="005F3EFC">
        <w:rPr>
          <w:rFonts w:asciiTheme="majorHAnsi" w:hAnsiTheme="majorHAnsi" w:cstheme="majorHAnsi"/>
        </w:rPr>
        <w:t xml:space="preserve"> will be less accurate leading to downstream calculation errors.</w:t>
      </w:r>
    </w:p>
    <w:p w14:paraId="0F3C4FEF" w14:textId="77777777" w:rsidR="002A324C" w:rsidRPr="005F3EFC" w:rsidRDefault="00681130" w:rsidP="006E0618">
      <w:pPr>
        <w:numPr>
          <w:ilvl w:val="2"/>
          <w:numId w:val="10"/>
        </w:numPr>
        <w:ind w:left="1080"/>
        <w:rPr>
          <w:rFonts w:asciiTheme="majorHAnsi" w:hAnsiTheme="majorHAnsi" w:cstheme="majorHAnsi"/>
        </w:rPr>
      </w:pPr>
      <w:r w:rsidRPr="005F3EFC">
        <w:rPr>
          <w:rFonts w:asciiTheme="majorHAnsi" w:hAnsiTheme="majorHAnsi" w:cstheme="majorHAnsi"/>
        </w:rPr>
        <w:t>Two levels may be considered after the initial dose (“First-dose levels”) in patients where population PK equations may not accurately identify clearance (e.g., elderly, obese, septic) and for indications where early vancomycin optimization is important (e.g., bacteremia, endocarditis).  First-dose levels are not indicated for patients where anticipated duration of vancomycin is &lt;48 hours (e.g., surgical prophylaxis, skin and soft tissue infections in patients on observation) or in situations where they cannot practically be drawn (e.g., patients going to the OR).</w:t>
      </w:r>
    </w:p>
    <w:p w14:paraId="17D34CF5" w14:textId="77777777" w:rsidR="002A324C" w:rsidRPr="005F3EFC" w:rsidRDefault="00681130" w:rsidP="006E0618">
      <w:pPr>
        <w:numPr>
          <w:ilvl w:val="3"/>
          <w:numId w:val="10"/>
        </w:numPr>
        <w:ind w:left="1800"/>
        <w:rPr>
          <w:rFonts w:asciiTheme="majorHAnsi" w:hAnsiTheme="majorHAnsi" w:cstheme="majorHAnsi"/>
        </w:rPr>
      </w:pPr>
      <w:r w:rsidRPr="005F3EFC">
        <w:rPr>
          <w:rFonts w:asciiTheme="majorHAnsi" w:hAnsiTheme="majorHAnsi" w:cstheme="majorHAnsi"/>
        </w:rPr>
        <w:t>Note: First-order equations with two levels are less accurate than Bayesian modeling, particularly when patients are not at steady state</w:t>
      </w:r>
    </w:p>
    <w:p w14:paraId="203C1146" w14:textId="7C3CC9DD" w:rsidR="002A324C" w:rsidRPr="005F3EFC" w:rsidRDefault="00681130" w:rsidP="006E0618">
      <w:pPr>
        <w:numPr>
          <w:ilvl w:val="2"/>
          <w:numId w:val="10"/>
        </w:numPr>
        <w:ind w:left="1080"/>
        <w:rPr>
          <w:rFonts w:asciiTheme="majorHAnsi" w:hAnsiTheme="majorHAnsi" w:cstheme="majorHAnsi"/>
        </w:rPr>
      </w:pPr>
      <w:r w:rsidRPr="005F3EFC">
        <w:rPr>
          <w:rFonts w:asciiTheme="majorHAnsi" w:hAnsiTheme="majorHAnsi" w:cstheme="majorHAnsi"/>
        </w:rPr>
        <w:t>When first-dose levels are checked, a repeat AUC evaluation is recommended at steady state on or around the 4th dose as the patient’s clinical condition can change dramatically early in the course of therapy (e.g., with fluid resuscitation). In certain situations (e.g., for anticipated short courses of therapy or in stable patients), a steady-state trough can be checked on or around the 4</w:t>
      </w:r>
      <w:r w:rsidRPr="005F3EFC">
        <w:rPr>
          <w:rFonts w:asciiTheme="majorHAnsi" w:hAnsiTheme="majorHAnsi" w:cstheme="majorHAnsi"/>
          <w:vertAlign w:val="superscript"/>
        </w:rPr>
        <w:t>th</w:t>
      </w:r>
      <w:r w:rsidRPr="005F3EFC">
        <w:rPr>
          <w:rFonts w:asciiTheme="majorHAnsi" w:hAnsiTheme="majorHAnsi" w:cstheme="majorHAnsi"/>
        </w:rPr>
        <w:t xml:space="preserve"> dose instead.</w:t>
      </w:r>
    </w:p>
    <w:p w14:paraId="3B6F5BBC" w14:textId="224426AF" w:rsidR="002A324C" w:rsidRDefault="00681130" w:rsidP="006E0618">
      <w:pPr>
        <w:numPr>
          <w:ilvl w:val="2"/>
          <w:numId w:val="10"/>
        </w:numPr>
        <w:ind w:left="1080"/>
        <w:rPr>
          <w:rFonts w:asciiTheme="majorHAnsi" w:hAnsiTheme="majorHAnsi" w:cstheme="majorHAnsi"/>
        </w:rPr>
      </w:pPr>
      <w:r w:rsidRPr="005F3EFC">
        <w:rPr>
          <w:rFonts w:asciiTheme="majorHAnsi" w:hAnsiTheme="majorHAnsi" w:cstheme="majorHAnsi"/>
        </w:rPr>
        <w:t>If 2 levels have not been checked after the initial dose, 2 levels should be checked once concentrations are near steady-state (on or around the 4</w:t>
      </w:r>
      <w:r w:rsidRPr="005F3EFC">
        <w:rPr>
          <w:rFonts w:asciiTheme="majorHAnsi" w:hAnsiTheme="majorHAnsi" w:cstheme="majorHAnsi"/>
          <w:vertAlign w:val="superscript"/>
        </w:rPr>
        <w:t>th</w:t>
      </w:r>
      <w:r w:rsidRPr="005F3EFC">
        <w:rPr>
          <w:rFonts w:asciiTheme="majorHAnsi" w:hAnsiTheme="majorHAnsi" w:cstheme="majorHAnsi"/>
        </w:rPr>
        <w:t xml:space="preserve"> dose, or after the 3</w:t>
      </w:r>
      <w:r w:rsidRPr="005F3EFC">
        <w:rPr>
          <w:rFonts w:asciiTheme="majorHAnsi" w:hAnsiTheme="majorHAnsi" w:cstheme="majorHAnsi"/>
          <w:vertAlign w:val="superscript"/>
        </w:rPr>
        <w:t>rd</w:t>
      </w:r>
      <w:r w:rsidRPr="005F3EFC">
        <w:rPr>
          <w:rFonts w:asciiTheme="majorHAnsi" w:hAnsiTheme="majorHAnsi" w:cstheme="majorHAnsi"/>
        </w:rPr>
        <w:t xml:space="preserve"> dose if the patient received a loading dose)</w:t>
      </w:r>
      <w:r w:rsidR="004F7B84">
        <w:rPr>
          <w:rFonts w:asciiTheme="majorHAnsi" w:hAnsiTheme="majorHAnsi" w:cstheme="majorHAnsi"/>
        </w:rPr>
        <w:t xml:space="preserve"> if vancomycin is to be continued</w:t>
      </w:r>
      <w:r w:rsidRPr="005F3EFC">
        <w:rPr>
          <w:rFonts w:asciiTheme="majorHAnsi" w:hAnsiTheme="majorHAnsi" w:cstheme="majorHAnsi"/>
        </w:rPr>
        <w:t>.</w:t>
      </w:r>
    </w:p>
    <w:p w14:paraId="10829376" w14:textId="77777777" w:rsidR="004835E0" w:rsidRPr="004835E0" w:rsidRDefault="004835E0" w:rsidP="004835E0">
      <w:pPr>
        <w:pStyle w:val="ListParagraph"/>
        <w:numPr>
          <w:ilvl w:val="0"/>
          <w:numId w:val="10"/>
        </w:numPr>
        <w:rPr>
          <w:rFonts w:asciiTheme="majorHAnsi" w:eastAsia="Times New Roman" w:hAnsiTheme="majorHAnsi" w:cstheme="majorHAnsi"/>
          <w:szCs w:val="20"/>
        </w:rPr>
      </w:pPr>
      <w:r w:rsidRPr="004835E0">
        <w:rPr>
          <w:rFonts w:asciiTheme="majorHAnsi" w:eastAsia="Times New Roman" w:hAnsiTheme="majorHAnsi" w:cstheme="majorHAnsi"/>
          <w:szCs w:val="20"/>
        </w:rPr>
        <w:t>What if 2 concentrations were ordered but only 1 was drawn?</w:t>
      </w:r>
    </w:p>
    <w:p w14:paraId="7C5FD46E" w14:textId="77777777" w:rsidR="004835E0" w:rsidRPr="004835E0" w:rsidRDefault="004835E0" w:rsidP="004835E0">
      <w:pPr>
        <w:pStyle w:val="ListParagraph"/>
        <w:numPr>
          <w:ilvl w:val="0"/>
          <w:numId w:val="21"/>
        </w:numPr>
        <w:rPr>
          <w:rFonts w:asciiTheme="majorHAnsi" w:eastAsia="Times New Roman" w:hAnsiTheme="majorHAnsi" w:cstheme="majorHAnsi"/>
          <w:szCs w:val="20"/>
        </w:rPr>
      </w:pPr>
      <w:r w:rsidRPr="004835E0">
        <w:rPr>
          <w:rFonts w:asciiTheme="majorHAnsi" w:eastAsia="Times New Roman" w:hAnsiTheme="majorHAnsi" w:cstheme="majorHAnsi"/>
          <w:szCs w:val="20"/>
        </w:rPr>
        <w:t>If the patient was not at steady state, such as after the first dose, then 2 repeat concentrations must be re-ordered.  You cannot repeat only 1 concentration off a new dose and use it in conjunction with the first level that was obtained after the previous dose.  The two concentrations fall on different concentration time curves since the patient has not reached steady state.</w:t>
      </w:r>
    </w:p>
    <w:p w14:paraId="38CB28AA" w14:textId="1AA1BA84" w:rsidR="006E0618" w:rsidRPr="004F7B84" w:rsidRDefault="004835E0" w:rsidP="004F7B84">
      <w:pPr>
        <w:pStyle w:val="ListParagraph"/>
        <w:numPr>
          <w:ilvl w:val="0"/>
          <w:numId w:val="21"/>
        </w:numPr>
        <w:rPr>
          <w:rFonts w:asciiTheme="majorHAnsi" w:eastAsia="Times New Roman" w:hAnsiTheme="majorHAnsi" w:cstheme="majorHAnsi"/>
          <w:szCs w:val="20"/>
        </w:rPr>
      </w:pPr>
      <w:r w:rsidRPr="004835E0">
        <w:rPr>
          <w:rFonts w:asciiTheme="majorHAnsi" w:eastAsia="Times New Roman" w:hAnsiTheme="majorHAnsi" w:cstheme="majorHAnsi"/>
          <w:szCs w:val="20"/>
        </w:rPr>
        <w:t>If the patient is at</w:t>
      </w:r>
      <w:r>
        <w:rPr>
          <w:rFonts w:asciiTheme="majorHAnsi" w:eastAsia="Times New Roman" w:hAnsiTheme="majorHAnsi" w:cstheme="majorHAnsi"/>
          <w:szCs w:val="20"/>
        </w:rPr>
        <w:t xml:space="preserve"> estimated steady state and the second level was collected as a trough (e.g., 30-60 minutes prior to the next dose) it can be interpreted as a trough to guide the need for immediate dose changes.</w:t>
      </w:r>
      <w:r w:rsidRPr="004835E0">
        <w:rPr>
          <w:rFonts w:asciiTheme="majorHAnsi" w:eastAsia="Times New Roman" w:hAnsiTheme="majorHAnsi" w:cstheme="majorHAnsi"/>
          <w:szCs w:val="20"/>
        </w:rPr>
        <w:t xml:space="preserve"> </w:t>
      </w:r>
      <w:r>
        <w:rPr>
          <w:rFonts w:asciiTheme="majorHAnsi" w:eastAsia="Times New Roman" w:hAnsiTheme="majorHAnsi" w:cstheme="majorHAnsi"/>
          <w:szCs w:val="20"/>
        </w:rPr>
        <w:t>A</w:t>
      </w:r>
      <w:r w:rsidRPr="004835E0">
        <w:rPr>
          <w:rFonts w:asciiTheme="majorHAnsi" w:eastAsia="Times New Roman" w:hAnsiTheme="majorHAnsi" w:cstheme="majorHAnsi"/>
          <w:szCs w:val="20"/>
        </w:rPr>
        <w:t xml:space="preserve"> second concentration </w:t>
      </w:r>
      <w:r>
        <w:rPr>
          <w:rFonts w:asciiTheme="majorHAnsi" w:eastAsia="Times New Roman" w:hAnsiTheme="majorHAnsi" w:cstheme="majorHAnsi"/>
          <w:szCs w:val="20"/>
        </w:rPr>
        <w:t>(e.g., draw a midpoint level after the next dose) can be done to use with the pre</w:t>
      </w:r>
      <w:r w:rsidR="00801263">
        <w:rPr>
          <w:rFonts w:asciiTheme="majorHAnsi" w:eastAsia="Times New Roman" w:hAnsiTheme="majorHAnsi" w:cstheme="majorHAnsi"/>
          <w:szCs w:val="20"/>
        </w:rPr>
        <w:t>vious concentration to complete the AUC calculations.</w:t>
      </w:r>
    </w:p>
    <w:p w14:paraId="3A1F02B4" w14:textId="77777777" w:rsidR="002A324C" w:rsidRPr="006E0618" w:rsidRDefault="00681130" w:rsidP="006E0618">
      <w:pPr>
        <w:numPr>
          <w:ilvl w:val="1"/>
          <w:numId w:val="10"/>
        </w:numPr>
        <w:ind w:left="360"/>
        <w:rPr>
          <w:rFonts w:asciiTheme="majorHAnsi" w:hAnsiTheme="majorHAnsi" w:cstheme="majorHAnsi"/>
          <w:b/>
          <w:bCs/>
        </w:rPr>
      </w:pPr>
      <w:r w:rsidRPr="006E0618">
        <w:rPr>
          <w:rFonts w:asciiTheme="majorHAnsi" w:hAnsiTheme="majorHAnsi" w:cstheme="majorHAnsi"/>
          <w:b/>
          <w:bCs/>
        </w:rPr>
        <w:lastRenderedPageBreak/>
        <w:t>Therapeutic Drug Monitoring - Bayesian</w:t>
      </w:r>
    </w:p>
    <w:p w14:paraId="52B79133" w14:textId="77777777" w:rsidR="002A324C" w:rsidRPr="005F3EFC" w:rsidRDefault="00681130" w:rsidP="006E0618">
      <w:pPr>
        <w:numPr>
          <w:ilvl w:val="2"/>
          <w:numId w:val="10"/>
        </w:numPr>
        <w:ind w:left="1080"/>
        <w:rPr>
          <w:rFonts w:asciiTheme="majorHAnsi" w:hAnsiTheme="majorHAnsi" w:cstheme="majorHAnsi"/>
        </w:rPr>
      </w:pPr>
      <w:r w:rsidRPr="005F3EFC">
        <w:rPr>
          <w:rFonts w:asciiTheme="majorHAnsi" w:hAnsiTheme="majorHAnsi" w:cstheme="majorHAnsi"/>
        </w:rPr>
        <w:t>Bayesian software programs can be integrated into the EHR or accessed via a web-based application. For the latter, pharmacists will have to transcribe data from the EHR into the software platform.</w:t>
      </w:r>
    </w:p>
    <w:p w14:paraId="25CFEB68" w14:textId="1B2DB2E8" w:rsidR="002A324C" w:rsidRPr="006E0618" w:rsidRDefault="00681130" w:rsidP="006E0618">
      <w:pPr>
        <w:numPr>
          <w:ilvl w:val="3"/>
          <w:numId w:val="10"/>
        </w:numPr>
        <w:ind w:left="1800"/>
        <w:rPr>
          <w:rFonts w:asciiTheme="majorHAnsi" w:hAnsiTheme="majorHAnsi" w:cstheme="majorHAnsi"/>
        </w:rPr>
      </w:pPr>
      <w:r w:rsidRPr="005F3EFC">
        <w:rPr>
          <w:rFonts w:asciiTheme="majorHAnsi" w:hAnsiTheme="majorHAnsi" w:cstheme="majorHAnsi"/>
        </w:rPr>
        <w:t>In settings where pharmacists are transcribing data, institutions may choose to not enter certain patient populations into the software and using traditional dosing strategies instead (e.g., patients requiring renal replacement therapy)</w:t>
      </w:r>
    </w:p>
    <w:p w14:paraId="3486B080" w14:textId="77777777" w:rsidR="002A324C" w:rsidRPr="005F3EFC" w:rsidRDefault="00681130" w:rsidP="006E0618">
      <w:pPr>
        <w:numPr>
          <w:ilvl w:val="2"/>
          <w:numId w:val="10"/>
        </w:numPr>
        <w:ind w:left="1080"/>
        <w:rPr>
          <w:rFonts w:asciiTheme="majorHAnsi" w:hAnsiTheme="majorHAnsi" w:cstheme="majorHAnsi"/>
        </w:rPr>
      </w:pPr>
      <w:r w:rsidRPr="005F3EFC">
        <w:rPr>
          <w:rFonts w:asciiTheme="majorHAnsi" w:hAnsiTheme="majorHAnsi" w:cstheme="majorHAnsi"/>
        </w:rPr>
        <w:t>One or two vancomycin concentrations can be checked after the first vancomycin dose. Drawing two levels initially to estimate AUC</w:t>
      </w:r>
      <w:r w:rsidRPr="005F3EFC">
        <w:rPr>
          <w:rFonts w:asciiTheme="majorHAnsi" w:hAnsiTheme="majorHAnsi" w:cstheme="majorHAnsi"/>
          <w:vertAlign w:val="subscript"/>
        </w:rPr>
        <w:t>24</w:t>
      </w:r>
      <w:r w:rsidRPr="005F3EFC">
        <w:rPr>
          <w:rFonts w:asciiTheme="majorHAnsi" w:hAnsiTheme="majorHAnsi" w:cstheme="majorHAnsi"/>
        </w:rPr>
        <w:t xml:space="preserve"> is recommended in obesity and critical illness, or in patients that may not “fit” the population model. The timing of the concentrations will depend on the software used. Some software can recommend the optimal time to check the concentration that would give the most informative patient specific vancomycin clearance. The benefit of using Bayesian software is that the timing of the concentrations is flexible. </w:t>
      </w:r>
    </w:p>
    <w:p w14:paraId="2E2DEF6D" w14:textId="77777777" w:rsidR="002A324C" w:rsidRPr="005F3EFC" w:rsidRDefault="00681130" w:rsidP="006E0618">
      <w:pPr>
        <w:numPr>
          <w:ilvl w:val="2"/>
          <w:numId w:val="10"/>
        </w:numPr>
        <w:ind w:left="1080"/>
        <w:rPr>
          <w:rFonts w:asciiTheme="majorHAnsi" w:hAnsiTheme="majorHAnsi" w:cstheme="majorHAnsi"/>
        </w:rPr>
      </w:pPr>
      <w:r w:rsidRPr="005F3EFC">
        <w:rPr>
          <w:rFonts w:asciiTheme="majorHAnsi" w:hAnsiTheme="majorHAnsi" w:cstheme="majorHAnsi"/>
        </w:rPr>
        <w:t>If one vancomycin concentration is recommended, a reasonable time to draw the concentration is a random level after the first vancomycin dose or at steady state.</w:t>
      </w:r>
    </w:p>
    <w:p w14:paraId="3346E2AB" w14:textId="77777777" w:rsidR="002A324C" w:rsidRPr="005F3EFC" w:rsidRDefault="00681130" w:rsidP="006E0618">
      <w:pPr>
        <w:numPr>
          <w:ilvl w:val="2"/>
          <w:numId w:val="10"/>
        </w:numPr>
        <w:ind w:left="1080"/>
        <w:rPr>
          <w:rFonts w:asciiTheme="majorHAnsi" w:hAnsiTheme="majorHAnsi" w:cstheme="majorHAnsi"/>
        </w:rPr>
      </w:pPr>
      <w:r w:rsidRPr="005F3EFC">
        <w:rPr>
          <w:rFonts w:asciiTheme="majorHAnsi" w:hAnsiTheme="majorHAnsi" w:cstheme="majorHAnsi"/>
        </w:rPr>
        <w:t xml:space="preserve">If two vancomycin concentrations are recommended, a reasonable time to draw the concentration is a peak and a trough in the same dosing interval after the first vancomycin dose or at steady state. </w:t>
      </w:r>
    </w:p>
    <w:p w14:paraId="41728B32" w14:textId="77777777" w:rsidR="002A324C" w:rsidRPr="005F3EFC" w:rsidRDefault="00681130" w:rsidP="006E0618">
      <w:pPr>
        <w:numPr>
          <w:ilvl w:val="2"/>
          <w:numId w:val="10"/>
        </w:numPr>
        <w:ind w:left="1080"/>
        <w:rPr>
          <w:rFonts w:asciiTheme="majorHAnsi" w:hAnsiTheme="majorHAnsi" w:cstheme="majorHAnsi"/>
        </w:rPr>
      </w:pPr>
      <w:r w:rsidRPr="005F3EFC">
        <w:rPr>
          <w:rFonts w:asciiTheme="majorHAnsi" w:hAnsiTheme="majorHAnsi" w:cstheme="majorHAnsi"/>
        </w:rPr>
        <w:t xml:space="preserve">Once the concentrations are inputted into the software, the 24h AUC can be estimated for every 24h period until steady state is reached. </w:t>
      </w:r>
    </w:p>
    <w:p w14:paraId="6252C52B" w14:textId="77777777" w:rsidR="002A324C" w:rsidRPr="005F3EFC" w:rsidRDefault="00681130" w:rsidP="006E0618">
      <w:pPr>
        <w:numPr>
          <w:ilvl w:val="2"/>
          <w:numId w:val="10"/>
        </w:numPr>
        <w:ind w:left="1080"/>
        <w:rPr>
          <w:rFonts w:asciiTheme="majorHAnsi" w:hAnsiTheme="majorHAnsi" w:cstheme="majorHAnsi"/>
        </w:rPr>
      </w:pPr>
      <w:r w:rsidRPr="005F3EFC">
        <w:rPr>
          <w:rFonts w:asciiTheme="majorHAnsi" w:hAnsiTheme="majorHAnsi" w:cstheme="majorHAnsi"/>
        </w:rPr>
        <w:t>Bayesian software can provide a dosing regimen to achieve a specific AUC</w:t>
      </w:r>
      <w:r w:rsidRPr="005F3EFC">
        <w:rPr>
          <w:rFonts w:asciiTheme="majorHAnsi" w:hAnsiTheme="majorHAnsi" w:cstheme="majorHAnsi"/>
          <w:vertAlign w:val="subscript"/>
        </w:rPr>
        <w:t>24</w:t>
      </w:r>
      <w:r w:rsidRPr="005F3EFC">
        <w:rPr>
          <w:rFonts w:asciiTheme="majorHAnsi" w:hAnsiTheme="majorHAnsi" w:cstheme="majorHAnsi"/>
        </w:rPr>
        <w:t xml:space="preserve"> based on patient specific parameters. From there, the pharmacist can test different dosing regimens and the estimated AUC</w:t>
      </w:r>
      <w:r w:rsidRPr="005F3EFC">
        <w:rPr>
          <w:rFonts w:asciiTheme="majorHAnsi" w:hAnsiTheme="majorHAnsi" w:cstheme="majorHAnsi"/>
          <w:vertAlign w:val="subscript"/>
        </w:rPr>
        <w:t>24</w:t>
      </w:r>
      <w:r w:rsidRPr="005F3EFC">
        <w:rPr>
          <w:rFonts w:asciiTheme="majorHAnsi" w:hAnsiTheme="majorHAnsi" w:cstheme="majorHAnsi"/>
        </w:rPr>
        <w:t xml:space="preserve"> that would achieve the desired target. </w:t>
      </w:r>
    </w:p>
    <w:p w14:paraId="1C62F1D1" w14:textId="77777777" w:rsidR="002A324C" w:rsidRPr="005F3EFC" w:rsidRDefault="00681130" w:rsidP="006E0618">
      <w:pPr>
        <w:numPr>
          <w:ilvl w:val="2"/>
          <w:numId w:val="10"/>
        </w:numPr>
        <w:ind w:left="1080"/>
        <w:rPr>
          <w:rFonts w:asciiTheme="majorHAnsi" w:hAnsiTheme="majorHAnsi" w:cstheme="majorHAnsi"/>
        </w:rPr>
      </w:pPr>
      <w:r w:rsidRPr="005F3EFC">
        <w:rPr>
          <w:rFonts w:asciiTheme="majorHAnsi" w:hAnsiTheme="majorHAnsi" w:cstheme="majorHAnsi"/>
        </w:rPr>
        <w:t>If vancomycin dose changes are needed, one or two vancomycin concentration(s) can be checked within 48h after the new dose is implemented to estimate the new 24h AUC.</w:t>
      </w:r>
    </w:p>
    <w:p w14:paraId="1AE3A7AF" w14:textId="77777777" w:rsidR="002A324C" w:rsidRPr="005F3EFC" w:rsidRDefault="00681130" w:rsidP="006E0618">
      <w:pPr>
        <w:numPr>
          <w:ilvl w:val="2"/>
          <w:numId w:val="10"/>
        </w:numPr>
        <w:ind w:left="1080"/>
        <w:rPr>
          <w:rFonts w:asciiTheme="majorHAnsi" w:hAnsiTheme="majorHAnsi" w:cstheme="majorHAnsi"/>
        </w:rPr>
      </w:pPr>
      <w:r w:rsidRPr="004835E0">
        <w:rPr>
          <w:rFonts w:asciiTheme="majorHAnsi" w:hAnsiTheme="majorHAnsi" w:cstheme="majorHAnsi"/>
          <w:highlight w:val="yellow"/>
        </w:rPr>
        <w:t>Once therapeutic AUC</w:t>
      </w:r>
      <w:r w:rsidRPr="004835E0">
        <w:rPr>
          <w:rFonts w:asciiTheme="majorHAnsi" w:hAnsiTheme="majorHAnsi" w:cstheme="majorHAnsi"/>
          <w:highlight w:val="yellow"/>
          <w:vertAlign w:val="subscript"/>
        </w:rPr>
        <w:t>24</w:t>
      </w:r>
      <w:r w:rsidRPr="004835E0">
        <w:rPr>
          <w:rFonts w:asciiTheme="majorHAnsi" w:hAnsiTheme="majorHAnsi" w:cstheme="majorHAnsi"/>
          <w:highlight w:val="yellow"/>
        </w:rPr>
        <w:t xml:space="preserve"> is reached, additional checks for vancomycin concentrations are based on institutional preference.</w:t>
      </w:r>
      <w:r w:rsidRPr="005F3EFC">
        <w:rPr>
          <w:rFonts w:asciiTheme="majorHAnsi" w:hAnsiTheme="majorHAnsi" w:cstheme="majorHAnsi"/>
        </w:rPr>
        <w:t xml:space="preserve"> General guidance is to re-check vancomycin concentration(s) if there is an acute change in the clinical status or renal function of the patient, and at a minimum every 5-7 days.  </w:t>
      </w:r>
    </w:p>
    <w:p w14:paraId="2AA4A65D" w14:textId="77777777" w:rsidR="002A324C" w:rsidRPr="005F3EFC" w:rsidRDefault="00681130" w:rsidP="006E0618">
      <w:pPr>
        <w:numPr>
          <w:ilvl w:val="3"/>
          <w:numId w:val="10"/>
        </w:numPr>
        <w:ind w:left="1800"/>
        <w:rPr>
          <w:rFonts w:asciiTheme="majorHAnsi" w:hAnsiTheme="majorHAnsi" w:cstheme="majorHAnsi"/>
        </w:rPr>
      </w:pPr>
      <w:r w:rsidRPr="005F3EFC">
        <w:rPr>
          <w:rFonts w:asciiTheme="majorHAnsi" w:hAnsiTheme="majorHAnsi" w:cstheme="majorHAnsi"/>
        </w:rPr>
        <w:t xml:space="preserve">Programs starting new with pharmacy-to-dose or high rates of baseline AKI may wish to be more conservative and require two therapeutic AUCs without a dose change, checked 3-5 days apart, before transitioning to weekly monitoring </w:t>
      </w:r>
    </w:p>
    <w:p w14:paraId="3C6A3EDF" w14:textId="78603CFE" w:rsidR="002F4EA1" w:rsidRDefault="00681130" w:rsidP="002F4EA1">
      <w:pPr>
        <w:numPr>
          <w:ilvl w:val="3"/>
          <w:numId w:val="10"/>
        </w:numPr>
        <w:ind w:left="1800"/>
        <w:rPr>
          <w:rFonts w:asciiTheme="majorHAnsi" w:hAnsiTheme="majorHAnsi" w:cstheme="majorHAnsi"/>
        </w:rPr>
      </w:pPr>
      <w:r w:rsidRPr="005F3EFC">
        <w:rPr>
          <w:rFonts w:asciiTheme="majorHAnsi" w:hAnsiTheme="majorHAnsi" w:cstheme="majorHAnsi"/>
        </w:rPr>
        <w:t>Patients on every 8</w:t>
      </w:r>
      <w:r w:rsidR="00E347D9">
        <w:rPr>
          <w:rFonts w:asciiTheme="majorHAnsi" w:hAnsiTheme="majorHAnsi" w:cstheme="majorHAnsi"/>
        </w:rPr>
        <w:t>-</w:t>
      </w:r>
      <w:r w:rsidRPr="005F3EFC">
        <w:rPr>
          <w:rFonts w:asciiTheme="majorHAnsi" w:hAnsiTheme="majorHAnsi" w:cstheme="majorHAnsi"/>
        </w:rPr>
        <w:t>hour dosing may require more frequent monitoring</w:t>
      </w:r>
    </w:p>
    <w:p w14:paraId="71EA6EC7" w14:textId="77777777" w:rsidR="002F4EA1" w:rsidRPr="004835E0" w:rsidRDefault="002F4EA1" w:rsidP="004835E0">
      <w:pPr>
        <w:pStyle w:val="ListParagraph"/>
        <w:numPr>
          <w:ilvl w:val="0"/>
          <w:numId w:val="10"/>
        </w:numPr>
        <w:rPr>
          <w:rFonts w:asciiTheme="majorHAnsi" w:hAnsiTheme="majorHAnsi" w:cstheme="majorHAnsi"/>
        </w:rPr>
      </w:pPr>
      <w:r w:rsidRPr="004835E0">
        <w:rPr>
          <w:rFonts w:asciiTheme="majorHAnsi" w:hAnsiTheme="majorHAnsi" w:cstheme="majorHAnsi"/>
        </w:rPr>
        <w:t>If no regimen is identified via the Bayesian software model reference table, use the “custom dose” section to design a regimen</w:t>
      </w:r>
    </w:p>
    <w:p w14:paraId="41E18C9C" w14:textId="7F348E18" w:rsidR="002F4EA1" w:rsidRDefault="002F4EA1" w:rsidP="002F4EA1">
      <w:pPr>
        <w:rPr>
          <w:rFonts w:asciiTheme="majorHAnsi" w:hAnsiTheme="majorHAnsi" w:cstheme="majorHAnsi"/>
        </w:rPr>
      </w:pPr>
    </w:p>
    <w:p w14:paraId="4E8D8932" w14:textId="1496061D" w:rsidR="002A324C" w:rsidRPr="00801263" w:rsidRDefault="00801263" w:rsidP="006E0618">
      <w:pPr>
        <w:rPr>
          <w:rFonts w:asciiTheme="majorHAnsi" w:hAnsiTheme="majorHAnsi" w:cstheme="majorHAnsi"/>
          <w:b/>
        </w:rPr>
      </w:pPr>
      <w:r w:rsidRPr="00801263">
        <w:rPr>
          <w:rFonts w:asciiTheme="majorHAnsi" w:hAnsiTheme="majorHAnsi" w:cstheme="majorHAnsi"/>
          <w:b/>
        </w:rPr>
        <w:t>Regardless of Monitoring Strategy:</w:t>
      </w:r>
    </w:p>
    <w:p w14:paraId="26D53296" w14:textId="5A754998" w:rsidR="002A324C" w:rsidRDefault="00681130" w:rsidP="006E0618">
      <w:pPr>
        <w:numPr>
          <w:ilvl w:val="1"/>
          <w:numId w:val="10"/>
        </w:numPr>
        <w:ind w:left="360"/>
        <w:rPr>
          <w:rFonts w:asciiTheme="majorHAnsi" w:hAnsiTheme="majorHAnsi" w:cstheme="majorHAnsi"/>
        </w:rPr>
      </w:pPr>
      <w:r w:rsidRPr="005F3EFC">
        <w:rPr>
          <w:rFonts w:asciiTheme="majorHAnsi" w:hAnsiTheme="majorHAnsi" w:cstheme="majorHAnsi"/>
        </w:rPr>
        <w:t>Conversion from AUC to Trough-Based Dosing or dosing guided by ‘random levels’</w:t>
      </w:r>
      <w:r w:rsidR="006E0618">
        <w:rPr>
          <w:rFonts w:asciiTheme="majorHAnsi" w:hAnsiTheme="majorHAnsi" w:cstheme="majorHAnsi"/>
        </w:rPr>
        <w:t xml:space="preserve"> should be done for patients who develop acute kidney injury or new onset renal replacement therapy</w:t>
      </w:r>
    </w:p>
    <w:p w14:paraId="60953BDC" w14:textId="2F12E0FE" w:rsidR="00801263" w:rsidRDefault="00801263" w:rsidP="006E0618">
      <w:pPr>
        <w:numPr>
          <w:ilvl w:val="1"/>
          <w:numId w:val="10"/>
        </w:numPr>
        <w:ind w:left="360"/>
        <w:rPr>
          <w:rFonts w:asciiTheme="majorHAnsi" w:hAnsiTheme="majorHAnsi" w:cstheme="majorHAnsi"/>
        </w:rPr>
      </w:pPr>
      <w:r>
        <w:rPr>
          <w:rFonts w:asciiTheme="majorHAnsi" w:hAnsiTheme="majorHAnsi" w:cstheme="majorHAnsi"/>
        </w:rPr>
        <w:lastRenderedPageBreak/>
        <w:t>If trough/second-AUC levels are high, the adjusted regimen should be timed to allow drug clearance before re-dosing.</w:t>
      </w:r>
    </w:p>
    <w:p w14:paraId="13316A56" w14:textId="77777777" w:rsidR="006E0618" w:rsidRPr="005F3EFC" w:rsidRDefault="006E0618" w:rsidP="006E0618">
      <w:pPr>
        <w:ind w:left="360"/>
        <w:rPr>
          <w:rFonts w:asciiTheme="majorHAnsi" w:hAnsiTheme="majorHAnsi" w:cstheme="majorHAnsi"/>
        </w:rPr>
      </w:pPr>
    </w:p>
    <w:p w14:paraId="40ACCF04" w14:textId="77777777" w:rsidR="002A324C" w:rsidRPr="006E0618" w:rsidRDefault="00681130" w:rsidP="006E0618">
      <w:pPr>
        <w:rPr>
          <w:rFonts w:asciiTheme="majorHAnsi" w:hAnsiTheme="majorHAnsi" w:cstheme="majorHAnsi"/>
          <w:b/>
          <w:bCs/>
        </w:rPr>
      </w:pPr>
      <w:r w:rsidRPr="006E0618">
        <w:rPr>
          <w:rFonts w:asciiTheme="majorHAnsi" w:hAnsiTheme="majorHAnsi" w:cstheme="majorHAnsi"/>
          <w:b/>
          <w:bCs/>
        </w:rPr>
        <w:t>Therapeutic Drug Monitoring - Continuous Infusion (CI)</w:t>
      </w:r>
    </w:p>
    <w:p w14:paraId="408EADC9" w14:textId="2A37009D" w:rsidR="002A324C" w:rsidRPr="005F3EFC" w:rsidRDefault="00681130" w:rsidP="006E0618">
      <w:pPr>
        <w:numPr>
          <w:ilvl w:val="0"/>
          <w:numId w:val="1"/>
        </w:numPr>
        <w:rPr>
          <w:rFonts w:asciiTheme="majorHAnsi" w:hAnsiTheme="majorHAnsi" w:cstheme="majorHAnsi"/>
        </w:rPr>
      </w:pPr>
      <w:r w:rsidRPr="005F3EFC">
        <w:rPr>
          <w:rFonts w:asciiTheme="majorHAnsi" w:hAnsiTheme="majorHAnsi" w:cstheme="majorHAnsi"/>
        </w:rPr>
        <w:t>AUC-based monitoring via CI vancomycin</w:t>
      </w:r>
    </w:p>
    <w:p w14:paraId="3CADCFFC" w14:textId="1F10D728" w:rsidR="002A324C" w:rsidRPr="005F3EFC" w:rsidRDefault="00681130" w:rsidP="006E0618">
      <w:pPr>
        <w:numPr>
          <w:ilvl w:val="1"/>
          <w:numId w:val="1"/>
        </w:numPr>
        <w:rPr>
          <w:rFonts w:asciiTheme="majorHAnsi" w:hAnsiTheme="majorHAnsi" w:cstheme="majorHAnsi"/>
        </w:rPr>
      </w:pPr>
      <w:r w:rsidRPr="005F3EFC">
        <w:rPr>
          <w:rFonts w:asciiTheme="majorHAnsi" w:hAnsiTheme="majorHAnsi" w:cstheme="majorHAnsi"/>
        </w:rPr>
        <w:t xml:space="preserve">A single vancomycin serum level should be collected at steady-state </w:t>
      </w:r>
    </w:p>
    <w:p w14:paraId="7310D9D3" w14:textId="77777777" w:rsidR="002A324C" w:rsidRPr="005F3EFC" w:rsidRDefault="00681130" w:rsidP="006E0618">
      <w:pPr>
        <w:numPr>
          <w:ilvl w:val="2"/>
          <w:numId w:val="1"/>
        </w:numPr>
        <w:rPr>
          <w:rFonts w:asciiTheme="majorHAnsi" w:hAnsiTheme="majorHAnsi" w:cstheme="majorHAnsi"/>
        </w:rPr>
      </w:pPr>
      <w:r w:rsidRPr="005F3EFC">
        <w:rPr>
          <w:rFonts w:asciiTheme="majorHAnsi" w:hAnsiTheme="majorHAnsi" w:cstheme="majorHAnsi"/>
        </w:rPr>
        <w:t>Can be collected at any time point during CI</w:t>
      </w:r>
    </w:p>
    <w:p w14:paraId="68816757" w14:textId="6AD61BE0" w:rsidR="002A324C" w:rsidRPr="005F3EFC" w:rsidRDefault="00681130" w:rsidP="006E0618">
      <w:pPr>
        <w:numPr>
          <w:ilvl w:val="1"/>
          <w:numId w:val="1"/>
        </w:numPr>
        <w:rPr>
          <w:rFonts w:asciiTheme="majorHAnsi" w:hAnsiTheme="majorHAnsi" w:cstheme="majorHAnsi"/>
        </w:rPr>
      </w:pPr>
      <w:r w:rsidRPr="005F3EFC">
        <w:rPr>
          <w:rFonts w:asciiTheme="majorHAnsi" w:hAnsiTheme="majorHAnsi" w:cstheme="majorHAnsi"/>
        </w:rPr>
        <w:t>Collect blood sample via catheter lumen after a normal saline flush</w:t>
      </w:r>
    </w:p>
    <w:p w14:paraId="47665FD4" w14:textId="7B0B9D33" w:rsidR="002A324C" w:rsidRPr="005F3EFC" w:rsidRDefault="00681130" w:rsidP="006E0618">
      <w:pPr>
        <w:numPr>
          <w:ilvl w:val="2"/>
          <w:numId w:val="1"/>
        </w:numPr>
        <w:rPr>
          <w:rFonts w:asciiTheme="majorHAnsi" w:hAnsiTheme="majorHAnsi" w:cstheme="majorHAnsi"/>
        </w:rPr>
      </w:pPr>
      <w:r w:rsidRPr="005F3EFC">
        <w:rPr>
          <w:rFonts w:asciiTheme="majorHAnsi" w:hAnsiTheme="majorHAnsi" w:cstheme="majorHAnsi"/>
        </w:rPr>
        <w:t>Utilize lumen that vancomycin is NOT infusing through</w:t>
      </w:r>
    </w:p>
    <w:p w14:paraId="3D771F15" w14:textId="77777777" w:rsidR="002A324C" w:rsidRPr="005F3EFC" w:rsidRDefault="00681130" w:rsidP="006E0618">
      <w:pPr>
        <w:numPr>
          <w:ilvl w:val="1"/>
          <w:numId w:val="1"/>
        </w:numPr>
        <w:rPr>
          <w:rFonts w:asciiTheme="majorHAnsi" w:hAnsiTheme="majorHAnsi" w:cstheme="majorHAnsi"/>
        </w:rPr>
      </w:pPr>
      <w:r w:rsidRPr="005F3EFC">
        <w:rPr>
          <w:rFonts w:asciiTheme="majorHAnsi" w:hAnsiTheme="majorHAnsi" w:cstheme="majorHAnsi"/>
        </w:rPr>
        <w:t xml:space="preserve">General serum level range for CI vancomycin </w:t>
      </w:r>
    </w:p>
    <w:p w14:paraId="1DF04505" w14:textId="77777777" w:rsidR="002A324C" w:rsidRPr="005F3EFC" w:rsidRDefault="00681130" w:rsidP="006E0618">
      <w:pPr>
        <w:numPr>
          <w:ilvl w:val="2"/>
          <w:numId w:val="1"/>
        </w:numPr>
        <w:rPr>
          <w:rFonts w:asciiTheme="majorHAnsi" w:hAnsiTheme="majorHAnsi" w:cstheme="majorHAnsi"/>
        </w:rPr>
      </w:pPr>
      <w:r w:rsidRPr="005F3EFC">
        <w:rPr>
          <w:rFonts w:asciiTheme="majorHAnsi" w:hAnsiTheme="majorHAnsi" w:cstheme="majorHAnsi"/>
        </w:rPr>
        <w:t>20-25 mcg/mL</w:t>
      </w:r>
    </w:p>
    <w:p w14:paraId="259482DF" w14:textId="77777777" w:rsidR="002A324C" w:rsidRPr="005F3EFC" w:rsidRDefault="00681130" w:rsidP="006E0618">
      <w:pPr>
        <w:numPr>
          <w:ilvl w:val="1"/>
          <w:numId w:val="1"/>
        </w:numPr>
        <w:rPr>
          <w:rFonts w:asciiTheme="majorHAnsi" w:hAnsiTheme="majorHAnsi" w:cstheme="majorHAnsi"/>
        </w:rPr>
      </w:pPr>
      <w:r w:rsidRPr="005F3EFC">
        <w:rPr>
          <w:rFonts w:asciiTheme="majorHAnsi" w:hAnsiTheme="majorHAnsi" w:cstheme="majorHAnsi"/>
        </w:rPr>
        <w:t>Multiply serum vancomycin level by a factor of 24 to calculate AUC</w:t>
      </w:r>
      <w:r w:rsidRPr="005F3EFC">
        <w:rPr>
          <w:rFonts w:asciiTheme="majorHAnsi" w:hAnsiTheme="majorHAnsi" w:cstheme="majorHAnsi"/>
          <w:vertAlign w:val="subscript"/>
        </w:rPr>
        <w:t>24</w:t>
      </w:r>
    </w:p>
    <w:p w14:paraId="4D6D6560" w14:textId="77777777" w:rsidR="002A324C" w:rsidRPr="005F3EFC" w:rsidRDefault="00681130" w:rsidP="006E0618">
      <w:pPr>
        <w:numPr>
          <w:ilvl w:val="2"/>
          <w:numId w:val="1"/>
        </w:numPr>
        <w:rPr>
          <w:rFonts w:asciiTheme="majorHAnsi" w:hAnsiTheme="majorHAnsi" w:cstheme="majorHAnsi"/>
        </w:rPr>
      </w:pPr>
      <w:r w:rsidRPr="005F3EFC">
        <w:rPr>
          <w:rFonts w:asciiTheme="majorHAnsi" w:hAnsiTheme="majorHAnsi" w:cstheme="majorHAnsi"/>
        </w:rPr>
        <w:t>Ex: vancomycin serum level = 21 mcg/mL</w:t>
      </w:r>
    </w:p>
    <w:p w14:paraId="78D6EED6" w14:textId="77777777" w:rsidR="002A324C" w:rsidRPr="005F3EFC" w:rsidRDefault="00681130" w:rsidP="006E0618">
      <w:pPr>
        <w:numPr>
          <w:ilvl w:val="3"/>
          <w:numId w:val="1"/>
        </w:numPr>
        <w:rPr>
          <w:rFonts w:asciiTheme="majorHAnsi" w:hAnsiTheme="majorHAnsi" w:cstheme="majorHAnsi"/>
        </w:rPr>
      </w:pPr>
      <w:r w:rsidRPr="005F3EFC">
        <w:rPr>
          <w:rFonts w:asciiTheme="majorHAnsi" w:hAnsiTheme="majorHAnsi" w:cstheme="majorHAnsi"/>
        </w:rPr>
        <w:t>Multiply 21 mcg/mL * 24</w:t>
      </w:r>
    </w:p>
    <w:p w14:paraId="68957536" w14:textId="157FE957" w:rsidR="002A324C" w:rsidRDefault="00681130" w:rsidP="006E0618">
      <w:pPr>
        <w:numPr>
          <w:ilvl w:val="3"/>
          <w:numId w:val="1"/>
        </w:numPr>
        <w:rPr>
          <w:rFonts w:asciiTheme="majorHAnsi" w:hAnsiTheme="majorHAnsi" w:cstheme="majorHAnsi"/>
        </w:rPr>
      </w:pPr>
      <w:r w:rsidRPr="005F3EFC">
        <w:rPr>
          <w:rFonts w:asciiTheme="majorHAnsi" w:hAnsiTheme="majorHAnsi" w:cstheme="majorHAnsi"/>
        </w:rPr>
        <w:t xml:space="preserve">AUC = 504 mcg*h/mL </w:t>
      </w:r>
    </w:p>
    <w:p w14:paraId="6727782F" w14:textId="6B4E7888" w:rsidR="004F7B84" w:rsidRDefault="004F7B84" w:rsidP="004F7B84">
      <w:pPr>
        <w:numPr>
          <w:ilvl w:val="1"/>
          <w:numId w:val="1"/>
        </w:numPr>
        <w:rPr>
          <w:rFonts w:asciiTheme="majorHAnsi" w:hAnsiTheme="majorHAnsi" w:cstheme="majorHAnsi"/>
        </w:rPr>
      </w:pPr>
      <w:r>
        <w:rPr>
          <w:rFonts w:asciiTheme="majorHAnsi" w:hAnsiTheme="majorHAnsi" w:cstheme="majorHAnsi"/>
        </w:rPr>
        <w:t>If therapeutic: recheck level ~72-96 hours, sooner if renal function changes</w:t>
      </w:r>
    </w:p>
    <w:p w14:paraId="3C72F8C9" w14:textId="6396E556" w:rsidR="004F7B84" w:rsidRDefault="004F7B84" w:rsidP="004F7B84">
      <w:pPr>
        <w:numPr>
          <w:ilvl w:val="1"/>
          <w:numId w:val="1"/>
        </w:numPr>
        <w:rPr>
          <w:rFonts w:asciiTheme="majorHAnsi" w:hAnsiTheme="majorHAnsi" w:cstheme="majorHAnsi"/>
        </w:rPr>
      </w:pPr>
      <w:r>
        <w:rPr>
          <w:rFonts w:asciiTheme="majorHAnsi" w:hAnsiTheme="majorHAnsi" w:cstheme="majorHAnsi"/>
        </w:rPr>
        <w:t>If subtherapeutic</w:t>
      </w:r>
      <w:r w:rsidR="00001F0E">
        <w:rPr>
          <w:rFonts w:asciiTheme="majorHAnsi" w:hAnsiTheme="majorHAnsi" w:cstheme="majorHAnsi"/>
        </w:rPr>
        <w:t xml:space="preserve"> adjust based on proportional calculation assuming renal function is stable:</w:t>
      </w:r>
      <w:r w:rsidR="00001F0E" w:rsidRPr="00001F0E">
        <w:rPr>
          <w:rFonts w:asciiTheme="majorHAnsi" w:hAnsiTheme="majorHAnsi" w:cstheme="majorHAnsi"/>
          <w:noProof/>
        </w:rPr>
        <w:t xml:space="preserve"> </w:t>
      </w:r>
      <w:r w:rsidR="00001F0E" w:rsidRPr="00001F0E">
        <w:rPr>
          <w:rFonts w:asciiTheme="majorHAnsi" w:hAnsiTheme="majorHAnsi" w:cstheme="majorHAnsi"/>
          <w:noProof/>
        </w:rPr>
        <w:drawing>
          <wp:inline distT="0" distB="0" distL="0" distR="0" wp14:anchorId="7D1D1BB9" wp14:editId="60BD9200">
            <wp:extent cx="4628757" cy="4381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6038" cy="463450"/>
                    </a:xfrm>
                    <a:prstGeom prst="rect">
                      <a:avLst/>
                    </a:prstGeom>
                    <a:noFill/>
                    <a:ln>
                      <a:noFill/>
                    </a:ln>
                  </pic:spPr>
                </pic:pic>
              </a:graphicData>
            </a:graphic>
          </wp:inline>
        </w:drawing>
      </w:r>
    </w:p>
    <w:p w14:paraId="44B22301" w14:textId="2EDAE20A" w:rsidR="00001F0E" w:rsidRDefault="00001F0E" w:rsidP="004F7B84">
      <w:pPr>
        <w:numPr>
          <w:ilvl w:val="1"/>
          <w:numId w:val="1"/>
        </w:numPr>
        <w:rPr>
          <w:rFonts w:asciiTheme="majorHAnsi" w:hAnsiTheme="majorHAnsi" w:cstheme="majorHAnsi"/>
        </w:rPr>
      </w:pPr>
      <w:r>
        <w:rPr>
          <w:rFonts w:asciiTheme="majorHAnsi" w:hAnsiTheme="majorHAnsi" w:cstheme="majorHAnsi"/>
        </w:rPr>
        <w:t>If supratherapeutic:</w:t>
      </w:r>
    </w:p>
    <w:tbl>
      <w:tblPr>
        <w:tblStyle w:val="TableGrid"/>
        <w:tblW w:w="0" w:type="auto"/>
        <w:tblInd w:w="1440" w:type="dxa"/>
        <w:tblLook w:val="04A0" w:firstRow="1" w:lastRow="0" w:firstColumn="1" w:lastColumn="0" w:noHBand="0" w:noVBand="1"/>
      </w:tblPr>
      <w:tblGrid>
        <w:gridCol w:w="2640"/>
        <w:gridCol w:w="2635"/>
        <w:gridCol w:w="2635"/>
      </w:tblGrid>
      <w:tr w:rsidR="00001F0E" w14:paraId="396D9812" w14:textId="77777777" w:rsidTr="00001F0E">
        <w:tc>
          <w:tcPr>
            <w:tcW w:w="2640" w:type="dxa"/>
          </w:tcPr>
          <w:p w14:paraId="1C1198C9" w14:textId="4241413C" w:rsidR="00001F0E" w:rsidRDefault="00001F0E" w:rsidP="00001F0E">
            <w:pPr>
              <w:jc w:val="center"/>
              <w:rPr>
                <w:rFonts w:asciiTheme="majorHAnsi" w:hAnsiTheme="majorHAnsi" w:cstheme="majorHAnsi"/>
              </w:rPr>
            </w:pPr>
            <w:r>
              <w:rPr>
                <w:rFonts w:asciiTheme="majorHAnsi" w:hAnsiTheme="majorHAnsi" w:cstheme="majorHAnsi"/>
              </w:rPr>
              <w:t>Vancomycin Concentration 25-30</w:t>
            </w:r>
          </w:p>
        </w:tc>
        <w:tc>
          <w:tcPr>
            <w:tcW w:w="2635" w:type="dxa"/>
          </w:tcPr>
          <w:p w14:paraId="6A1F076C" w14:textId="5B7817F9" w:rsidR="00001F0E" w:rsidRDefault="00001F0E" w:rsidP="00001F0E">
            <w:pPr>
              <w:jc w:val="center"/>
              <w:rPr>
                <w:rFonts w:asciiTheme="majorHAnsi" w:hAnsiTheme="majorHAnsi" w:cstheme="majorHAnsi"/>
              </w:rPr>
            </w:pPr>
            <w:r>
              <w:rPr>
                <w:rFonts w:asciiTheme="majorHAnsi" w:hAnsiTheme="majorHAnsi" w:cstheme="majorHAnsi"/>
              </w:rPr>
              <w:t>Vancomycin concentration 30-35</w:t>
            </w:r>
          </w:p>
        </w:tc>
        <w:tc>
          <w:tcPr>
            <w:tcW w:w="2635" w:type="dxa"/>
          </w:tcPr>
          <w:p w14:paraId="436CA11C" w14:textId="3DFAF622" w:rsidR="00001F0E" w:rsidRDefault="00001F0E" w:rsidP="00001F0E">
            <w:pPr>
              <w:jc w:val="center"/>
              <w:rPr>
                <w:rFonts w:asciiTheme="majorHAnsi" w:hAnsiTheme="majorHAnsi" w:cstheme="majorHAnsi"/>
              </w:rPr>
            </w:pPr>
            <w:r>
              <w:rPr>
                <w:rFonts w:asciiTheme="majorHAnsi" w:hAnsiTheme="majorHAnsi" w:cstheme="majorHAnsi"/>
              </w:rPr>
              <w:t>Vancomycin concentration 35-40</w:t>
            </w:r>
          </w:p>
        </w:tc>
      </w:tr>
      <w:tr w:rsidR="00001F0E" w14:paraId="330A7851" w14:textId="77777777" w:rsidTr="00001F0E">
        <w:tc>
          <w:tcPr>
            <w:tcW w:w="2640" w:type="dxa"/>
          </w:tcPr>
          <w:p w14:paraId="3C6FCFC5" w14:textId="3DCA211E" w:rsidR="00001F0E" w:rsidRDefault="00001F0E" w:rsidP="00001F0E">
            <w:pPr>
              <w:rPr>
                <w:rFonts w:asciiTheme="majorHAnsi" w:hAnsiTheme="majorHAnsi" w:cstheme="majorHAnsi"/>
              </w:rPr>
            </w:pPr>
            <w:r>
              <w:rPr>
                <w:rFonts w:asciiTheme="majorHAnsi" w:hAnsiTheme="majorHAnsi" w:cstheme="majorHAnsi"/>
              </w:rPr>
              <w:t>Hold infusion for 2 hours; decrease daily dose by 250-500 mg</w:t>
            </w:r>
          </w:p>
        </w:tc>
        <w:tc>
          <w:tcPr>
            <w:tcW w:w="2635" w:type="dxa"/>
          </w:tcPr>
          <w:p w14:paraId="28827B41" w14:textId="175B9E07" w:rsidR="00001F0E" w:rsidRDefault="00001F0E" w:rsidP="00001F0E">
            <w:pPr>
              <w:rPr>
                <w:rFonts w:asciiTheme="majorHAnsi" w:hAnsiTheme="majorHAnsi" w:cstheme="majorHAnsi"/>
              </w:rPr>
            </w:pPr>
            <w:r>
              <w:rPr>
                <w:rFonts w:asciiTheme="majorHAnsi" w:hAnsiTheme="majorHAnsi" w:cstheme="majorHAnsi"/>
              </w:rPr>
              <w:t>Hold infusion for 3 hours; decrease daily dose by 500-750 mg</w:t>
            </w:r>
          </w:p>
        </w:tc>
        <w:tc>
          <w:tcPr>
            <w:tcW w:w="2635" w:type="dxa"/>
          </w:tcPr>
          <w:p w14:paraId="30BF396B" w14:textId="7AC50D7B" w:rsidR="00001F0E" w:rsidRDefault="00001F0E" w:rsidP="00001F0E">
            <w:pPr>
              <w:rPr>
                <w:rFonts w:asciiTheme="majorHAnsi" w:hAnsiTheme="majorHAnsi" w:cstheme="majorHAnsi"/>
              </w:rPr>
            </w:pPr>
            <w:r>
              <w:rPr>
                <w:rFonts w:asciiTheme="majorHAnsi" w:hAnsiTheme="majorHAnsi" w:cstheme="majorHAnsi"/>
              </w:rPr>
              <w:t>Hold infusion for 4 hours, decrease daily dose by 750 mg-1000 mg</w:t>
            </w:r>
          </w:p>
        </w:tc>
      </w:tr>
      <w:tr w:rsidR="00001F0E" w14:paraId="762C4704" w14:textId="77777777" w:rsidTr="00791030">
        <w:tc>
          <w:tcPr>
            <w:tcW w:w="7910" w:type="dxa"/>
            <w:gridSpan w:val="3"/>
          </w:tcPr>
          <w:p w14:paraId="198DF63D" w14:textId="57EC7D23" w:rsidR="00001F0E" w:rsidRDefault="00001F0E" w:rsidP="00001F0E">
            <w:pPr>
              <w:rPr>
                <w:rFonts w:asciiTheme="majorHAnsi" w:hAnsiTheme="majorHAnsi" w:cstheme="majorHAnsi"/>
              </w:rPr>
            </w:pPr>
            <w:r>
              <w:rPr>
                <w:rFonts w:asciiTheme="majorHAnsi" w:hAnsiTheme="majorHAnsi" w:cstheme="majorHAnsi"/>
              </w:rPr>
              <w:t>Check dose reduction calculations with the proportional calculation above to ensure appropriate adjustments</w:t>
            </w:r>
          </w:p>
        </w:tc>
      </w:tr>
    </w:tbl>
    <w:p w14:paraId="765BAD55" w14:textId="49EDBA8F" w:rsidR="00001F0E" w:rsidRPr="00001F0E" w:rsidRDefault="00001F0E" w:rsidP="00001F0E">
      <w:pPr>
        <w:rPr>
          <w:rFonts w:asciiTheme="majorHAnsi" w:hAnsiTheme="majorHAnsi" w:cstheme="majorHAnsi"/>
        </w:rPr>
      </w:pPr>
    </w:p>
    <w:p w14:paraId="4D840A86" w14:textId="77777777" w:rsidR="002A324C" w:rsidRPr="005F3EFC" w:rsidRDefault="00681130" w:rsidP="006E0618">
      <w:pPr>
        <w:numPr>
          <w:ilvl w:val="0"/>
          <w:numId w:val="1"/>
        </w:numPr>
        <w:rPr>
          <w:rFonts w:asciiTheme="majorHAnsi" w:hAnsiTheme="majorHAnsi" w:cstheme="majorHAnsi"/>
        </w:rPr>
      </w:pPr>
      <w:r w:rsidRPr="005F3EFC">
        <w:rPr>
          <w:rFonts w:asciiTheme="majorHAnsi" w:hAnsiTheme="majorHAnsi" w:cstheme="majorHAnsi"/>
        </w:rPr>
        <w:t>Transitioning a patient from intermittent infusion to CI vancomycin</w:t>
      </w:r>
    </w:p>
    <w:p w14:paraId="5D94A738" w14:textId="77777777" w:rsidR="002A324C" w:rsidRPr="005F3EFC" w:rsidRDefault="00681130" w:rsidP="006E0618">
      <w:pPr>
        <w:numPr>
          <w:ilvl w:val="1"/>
          <w:numId w:val="1"/>
        </w:numPr>
        <w:rPr>
          <w:rFonts w:asciiTheme="majorHAnsi" w:hAnsiTheme="majorHAnsi" w:cstheme="majorHAnsi"/>
        </w:rPr>
      </w:pPr>
      <w:r w:rsidRPr="005F3EFC">
        <w:rPr>
          <w:rFonts w:asciiTheme="majorHAnsi" w:hAnsiTheme="majorHAnsi" w:cstheme="majorHAnsi"/>
        </w:rPr>
        <w:t xml:space="preserve">Combine total daily vancomycin dose </w:t>
      </w:r>
    </w:p>
    <w:p w14:paraId="2AE008CE" w14:textId="77777777" w:rsidR="002A324C" w:rsidRPr="005F3EFC" w:rsidRDefault="00681130" w:rsidP="006E0618">
      <w:pPr>
        <w:numPr>
          <w:ilvl w:val="2"/>
          <w:numId w:val="1"/>
        </w:numPr>
        <w:rPr>
          <w:rFonts w:asciiTheme="majorHAnsi" w:hAnsiTheme="majorHAnsi" w:cstheme="majorHAnsi"/>
        </w:rPr>
      </w:pPr>
      <w:r w:rsidRPr="005F3EFC">
        <w:rPr>
          <w:rFonts w:asciiTheme="majorHAnsi" w:hAnsiTheme="majorHAnsi" w:cstheme="majorHAnsi"/>
        </w:rPr>
        <w:t xml:space="preserve">Ex: Patient is receiving vancomycin 1500 mg IV q12h </w:t>
      </w:r>
    </w:p>
    <w:p w14:paraId="6FBE8B2B" w14:textId="77777777" w:rsidR="002A324C" w:rsidRPr="005F3EFC" w:rsidRDefault="00681130" w:rsidP="006E0618">
      <w:pPr>
        <w:numPr>
          <w:ilvl w:val="3"/>
          <w:numId w:val="1"/>
        </w:numPr>
        <w:rPr>
          <w:rFonts w:asciiTheme="majorHAnsi" w:hAnsiTheme="majorHAnsi" w:cstheme="majorHAnsi"/>
        </w:rPr>
      </w:pPr>
      <w:r w:rsidRPr="005F3EFC">
        <w:rPr>
          <w:rFonts w:asciiTheme="majorHAnsi" w:hAnsiTheme="majorHAnsi" w:cstheme="majorHAnsi"/>
        </w:rPr>
        <w:t>Transition to CI would be 3000 mg over 24 hour infusion</w:t>
      </w:r>
    </w:p>
    <w:p w14:paraId="7BEDE3A2" w14:textId="77777777" w:rsidR="002A324C" w:rsidRPr="005F3EFC" w:rsidRDefault="00681130" w:rsidP="006E0618">
      <w:pPr>
        <w:numPr>
          <w:ilvl w:val="2"/>
          <w:numId w:val="1"/>
        </w:numPr>
        <w:rPr>
          <w:rFonts w:asciiTheme="majorHAnsi" w:hAnsiTheme="majorHAnsi" w:cstheme="majorHAnsi"/>
        </w:rPr>
      </w:pPr>
      <w:r w:rsidRPr="005F3EFC">
        <w:rPr>
          <w:rFonts w:asciiTheme="majorHAnsi" w:hAnsiTheme="majorHAnsi" w:cstheme="majorHAnsi"/>
        </w:rPr>
        <w:t>Some suggest lowering the total daily dose when converting to CI; however, this is institution specific</w:t>
      </w:r>
    </w:p>
    <w:p w14:paraId="7042B728" w14:textId="1B1F4DFF" w:rsidR="002A324C" w:rsidRPr="005F3EFC" w:rsidRDefault="00681130" w:rsidP="006E0618">
      <w:pPr>
        <w:numPr>
          <w:ilvl w:val="0"/>
          <w:numId w:val="1"/>
        </w:numPr>
        <w:rPr>
          <w:rFonts w:asciiTheme="majorHAnsi" w:hAnsiTheme="majorHAnsi" w:cstheme="majorHAnsi"/>
        </w:rPr>
      </w:pPr>
      <w:r w:rsidRPr="005F3EFC">
        <w:rPr>
          <w:rFonts w:asciiTheme="majorHAnsi" w:hAnsiTheme="majorHAnsi" w:cstheme="majorHAnsi"/>
        </w:rPr>
        <w:t>CI vancomycin has predominantly been studied among hospitalized patients who are critically ill and patients in the outpatient setting as part of outpatient parenteral antimicrobial therapy programs</w:t>
      </w:r>
    </w:p>
    <w:p w14:paraId="4A797CBB" w14:textId="7540D92E" w:rsidR="002A324C" w:rsidRPr="005F3EFC" w:rsidRDefault="00681130" w:rsidP="006E0618">
      <w:pPr>
        <w:numPr>
          <w:ilvl w:val="0"/>
          <w:numId w:val="1"/>
        </w:numPr>
        <w:rPr>
          <w:rFonts w:asciiTheme="majorHAnsi" w:hAnsiTheme="majorHAnsi" w:cstheme="majorHAnsi"/>
        </w:rPr>
      </w:pPr>
      <w:r w:rsidRPr="005F3EFC">
        <w:rPr>
          <w:rFonts w:asciiTheme="majorHAnsi" w:hAnsiTheme="majorHAnsi" w:cstheme="majorHAnsi"/>
        </w:rPr>
        <w:t>CI has potential advantages</w:t>
      </w:r>
      <w:r w:rsidR="00343C5E">
        <w:rPr>
          <w:rFonts w:asciiTheme="majorHAnsi" w:hAnsiTheme="majorHAnsi" w:cstheme="majorHAnsi"/>
        </w:rPr>
        <w:t xml:space="preserve"> </w:t>
      </w:r>
      <w:r w:rsidR="00801263">
        <w:rPr>
          <w:rFonts w:asciiTheme="majorHAnsi" w:hAnsiTheme="majorHAnsi" w:cstheme="majorHAnsi"/>
        </w:rPr>
        <w:t>(Hao 2016, Ma 2020)</w:t>
      </w:r>
    </w:p>
    <w:p w14:paraId="31B2EDDF" w14:textId="759DAB10" w:rsidR="002A324C" w:rsidRPr="005F3EFC" w:rsidRDefault="00681130" w:rsidP="006E0618">
      <w:pPr>
        <w:numPr>
          <w:ilvl w:val="1"/>
          <w:numId w:val="1"/>
        </w:numPr>
        <w:rPr>
          <w:rFonts w:asciiTheme="majorHAnsi" w:hAnsiTheme="majorHAnsi" w:cstheme="majorHAnsi"/>
        </w:rPr>
      </w:pPr>
      <w:r w:rsidRPr="005F3EFC">
        <w:rPr>
          <w:rFonts w:asciiTheme="majorHAnsi" w:hAnsiTheme="majorHAnsi" w:cstheme="majorHAnsi"/>
        </w:rPr>
        <w:lastRenderedPageBreak/>
        <w:t xml:space="preserve">Previously demonstrated reduced or similar risk of nephrotoxicity compared to intermittent infusion vancomycin </w:t>
      </w:r>
      <w:r w:rsidR="004F7B84">
        <w:rPr>
          <w:rFonts w:asciiTheme="majorHAnsi" w:hAnsiTheme="majorHAnsi" w:cstheme="majorHAnsi"/>
        </w:rPr>
        <w:t xml:space="preserve">targeting trough goals of 15-20 mg/L </w:t>
      </w:r>
      <w:r w:rsidRPr="005F3EFC">
        <w:rPr>
          <w:rFonts w:asciiTheme="majorHAnsi" w:hAnsiTheme="majorHAnsi" w:cstheme="majorHAnsi"/>
        </w:rPr>
        <w:t>with similar clinical efficacy</w:t>
      </w:r>
    </w:p>
    <w:p w14:paraId="385C58FB" w14:textId="06C725E0" w:rsidR="002A324C" w:rsidRPr="005F3EFC" w:rsidRDefault="00681130" w:rsidP="006E0618">
      <w:pPr>
        <w:numPr>
          <w:ilvl w:val="1"/>
          <w:numId w:val="1"/>
        </w:numPr>
        <w:rPr>
          <w:rFonts w:asciiTheme="majorHAnsi" w:hAnsiTheme="majorHAnsi" w:cstheme="majorHAnsi"/>
        </w:rPr>
      </w:pPr>
      <w:r w:rsidRPr="005F3EFC">
        <w:rPr>
          <w:rFonts w:asciiTheme="majorHAnsi" w:hAnsiTheme="majorHAnsi" w:cstheme="majorHAnsi"/>
        </w:rPr>
        <w:t>Serum levels less dependent on sampling time (blood samples can be collected at any time point during infusion)</w:t>
      </w:r>
    </w:p>
    <w:p w14:paraId="49CE6E46" w14:textId="77777777" w:rsidR="002A324C" w:rsidRPr="005F3EFC" w:rsidRDefault="00681130" w:rsidP="006E0618">
      <w:pPr>
        <w:numPr>
          <w:ilvl w:val="2"/>
          <w:numId w:val="1"/>
        </w:numPr>
        <w:rPr>
          <w:rFonts w:asciiTheme="majorHAnsi" w:hAnsiTheme="majorHAnsi" w:cstheme="majorHAnsi"/>
        </w:rPr>
      </w:pPr>
      <w:r w:rsidRPr="005F3EFC">
        <w:rPr>
          <w:rFonts w:asciiTheme="majorHAnsi" w:hAnsiTheme="majorHAnsi" w:cstheme="majorHAnsi"/>
        </w:rPr>
        <w:t>Less risk for timing errors for appropriate interpretation, particularly impactful in the outpatient setting</w:t>
      </w:r>
    </w:p>
    <w:p w14:paraId="0F694C26" w14:textId="6A988495" w:rsidR="002A324C" w:rsidRPr="005F3EFC" w:rsidRDefault="00681130" w:rsidP="006E0618">
      <w:pPr>
        <w:numPr>
          <w:ilvl w:val="1"/>
          <w:numId w:val="1"/>
        </w:numPr>
        <w:rPr>
          <w:rFonts w:asciiTheme="majorHAnsi" w:hAnsiTheme="majorHAnsi" w:cstheme="majorHAnsi"/>
        </w:rPr>
      </w:pPr>
      <w:r w:rsidRPr="005F3EFC">
        <w:rPr>
          <w:rFonts w:asciiTheme="majorHAnsi" w:hAnsiTheme="majorHAnsi" w:cstheme="majorHAnsi"/>
        </w:rPr>
        <w:t>Dose adjustments can be made by changing infusion rate of 24-hour infusion</w:t>
      </w:r>
    </w:p>
    <w:p w14:paraId="559B03AD" w14:textId="78234807" w:rsidR="002A324C" w:rsidRPr="005F3EFC" w:rsidRDefault="00681130" w:rsidP="006E0618">
      <w:pPr>
        <w:numPr>
          <w:ilvl w:val="1"/>
          <w:numId w:val="1"/>
        </w:numPr>
        <w:rPr>
          <w:rFonts w:asciiTheme="majorHAnsi" w:hAnsiTheme="majorHAnsi" w:cstheme="majorHAnsi"/>
        </w:rPr>
      </w:pPr>
      <w:r w:rsidRPr="005F3EFC">
        <w:rPr>
          <w:rFonts w:asciiTheme="majorHAnsi" w:hAnsiTheme="majorHAnsi" w:cstheme="majorHAnsi"/>
        </w:rPr>
        <w:t>Simple and convenient method for AUC calculation, particularly in the outpatient setting where two-point PK is logistically challenging and for institutions who may not have Bayesian software readily available</w:t>
      </w:r>
    </w:p>
    <w:p w14:paraId="36E8F4B1" w14:textId="77777777" w:rsidR="002A324C" w:rsidRPr="005F3EFC" w:rsidRDefault="00681130" w:rsidP="006E0618">
      <w:pPr>
        <w:numPr>
          <w:ilvl w:val="0"/>
          <w:numId w:val="1"/>
        </w:numPr>
        <w:rPr>
          <w:rFonts w:asciiTheme="majorHAnsi" w:hAnsiTheme="majorHAnsi" w:cstheme="majorHAnsi"/>
        </w:rPr>
      </w:pPr>
      <w:r w:rsidRPr="005F3EFC">
        <w:rPr>
          <w:rFonts w:asciiTheme="majorHAnsi" w:hAnsiTheme="majorHAnsi" w:cstheme="majorHAnsi"/>
        </w:rPr>
        <w:t>CI has potential disadvantages</w:t>
      </w:r>
    </w:p>
    <w:p w14:paraId="7316887E" w14:textId="1C76C438" w:rsidR="002A324C" w:rsidRPr="00343C5E" w:rsidRDefault="00681130" w:rsidP="00801263">
      <w:pPr>
        <w:numPr>
          <w:ilvl w:val="1"/>
          <w:numId w:val="1"/>
        </w:numPr>
        <w:rPr>
          <w:rFonts w:asciiTheme="majorHAnsi" w:hAnsiTheme="majorHAnsi" w:cstheme="majorHAnsi"/>
        </w:rPr>
      </w:pPr>
      <w:r w:rsidRPr="005F3EFC">
        <w:rPr>
          <w:rFonts w:asciiTheme="majorHAnsi" w:hAnsiTheme="majorHAnsi" w:cstheme="majorHAnsi"/>
        </w:rPr>
        <w:t>Patients are required to be connected to infusion device for 24-hour</w:t>
      </w:r>
      <w:r w:rsidR="00343C5E">
        <w:rPr>
          <w:rFonts w:asciiTheme="majorHAnsi" w:hAnsiTheme="majorHAnsi" w:cstheme="majorHAnsi"/>
        </w:rPr>
        <w:t>s; however, b</w:t>
      </w:r>
      <w:r w:rsidRPr="00343C5E">
        <w:rPr>
          <w:rFonts w:asciiTheme="majorHAnsi" w:hAnsiTheme="majorHAnsi" w:cstheme="majorHAnsi"/>
        </w:rPr>
        <w:t>eta-lactams such as oxacillin/nafcillin</w:t>
      </w:r>
      <w:r w:rsidR="00343C5E" w:rsidRPr="00343C5E">
        <w:rPr>
          <w:rFonts w:asciiTheme="majorHAnsi" w:hAnsiTheme="majorHAnsi" w:cstheme="majorHAnsi"/>
        </w:rPr>
        <w:t>,</w:t>
      </w:r>
      <w:r w:rsidRPr="00345326">
        <w:rPr>
          <w:rFonts w:asciiTheme="majorHAnsi" w:hAnsiTheme="majorHAnsi" w:cstheme="majorHAnsi"/>
        </w:rPr>
        <w:t xml:space="preserve"> penicillin G, piperacillin-tazobactam, etc. are frequently </w:t>
      </w:r>
      <w:r w:rsidRPr="00343C5E">
        <w:rPr>
          <w:rFonts w:asciiTheme="majorHAnsi" w:hAnsiTheme="majorHAnsi" w:cstheme="majorHAnsi"/>
        </w:rPr>
        <w:t xml:space="preserve"> infused via this strategy</w:t>
      </w:r>
    </w:p>
    <w:p w14:paraId="427F3E4A" w14:textId="77777777" w:rsidR="002A324C" w:rsidRPr="005F3EFC" w:rsidRDefault="00681130" w:rsidP="006E0618">
      <w:pPr>
        <w:numPr>
          <w:ilvl w:val="1"/>
          <w:numId w:val="1"/>
        </w:numPr>
        <w:rPr>
          <w:rFonts w:asciiTheme="majorHAnsi" w:hAnsiTheme="majorHAnsi" w:cstheme="majorHAnsi"/>
        </w:rPr>
      </w:pPr>
      <w:r w:rsidRPr="005F3EFC">
        <w:rPr>
          <w:rFonts w:asciiTheme="majorHAnsi" w:hAnsiTheme="majorHAnsi" w:cstheme="majorHAnsi"/>
        </w:rPr>
        <w:t xml:space="preserve">Patients require a </w:t>
      </w:r>
      <w:r w:rsidRPr="005F3EFC">
        <w:rPr>
          <w:rFonts w:asciiTheme="majorHAnsi" w:hAnsiTheme="majorHAnsi" w:cstheme="majorHAnsi"/>
          <w:u w:val="single"/>
        </w:rPr>
        <w:t>double lumen</w:t>
      </w:r>
      <w:r w:rsidRPr="005F3EFC">
        <w:rPr>
          <w:rFonts w:asciiTheme="majorHAnsi" w:hAnsiTheme="majorHAnsi" w:cstheme="majorHAnsi"/>
        </w:rPr>
        <w:t xml:space="preserve"> peripherally inserted central catheter (PICC) line or central venous catheter to allow vancomycin to be infused via one lumen and the blood sample to be collected via the other sample</w:t>
      </w:r>
    </w:p>
    <w:p w14:paraId="268561BE" w14:textId="77777777" w:rsidR="002A324C" w:rsidRPr="005F3EFC" w:rsidRDefault="00681130" w:rsidP="006E0618">
      <w:pPr>
        <w:numPr>
          <w:ilvl w:val="2"/>
          <w:numId w:val="1"/>
        </w:numPr>
        <w:rPr>
          <w:rFonts w:asciiTheme="majorHAnsi" w:hAnsiTheme="majorHAnsi" w:cstheme="majorHAnsi"/>
        </w:rPr>
      </w:pPr>
      <w:r w:rsidRPr="005F3EFC">
        <w:rPr>
          <w:rFonts w:asciiTheme="majorHAnsi" w:hAnsiTheme="majorHAnsi" w:cstheme="majorHAnsi"/>
        </w:rPr>
        <w:t>Lumen should be flushed with normal saline prior to blood sample collection</w:t>
      </w:r>
    </w:p>
    <w:p w14:paraId="66038D17" w14:textId="77777777" w:rsidR="002A324C" w:rsidRPr="005F3EFC" w:rsidRDefault="00681130" w:rsidP="006E0618">
      <w:pPr>
        <w:numPr>
          <w:ilvl w:val="2"/>
          <w:numId w:val="1"/>
        </w:numPr>
        <w:rPr>
          <w:rFonts w:asciiTheme="majorHAnsi" w:hAnsiTheme="majorHAnsi" w:cstheme="majorHAnsi"/>
        </w:rPr>
      </w:pPr>
      <w:r w:rsidRPr="005F3EFC">
        <w:rPr>
          <w:rFonts w:asciiTheme="majorHAnsi" w:hAnsiTheme="majorHAnsi" w:cstheme="majorHAnsi"/>
        </w:rPr>
        <w:t xml:space="preserve">Education required to ensure blood sample is not collected from lumen infusing vancomycin, which leads to inaccurate vancomycin levels </w:t>
      </w:r>
    </w:p>
    <w:p w14:paraId="3C303A07" w14:textId="14875FFE" w:rsidR="00801263" w:rsidRPr="004F7B84" w:rsidRDefault="00681130" w:rsidP="004F7B84">
      <w:pPr>
        <w:numPr>
          <w:ilvl w:val="2"/>
          <w:numId w:val="1"/>
        </w:numPr>
        <w:rPr>
          <w:rFonts w:asciiTheme="majorHAnsi" w:hAnsiTheme="majorHAnsi" w:cstheme="majorHAnsi"/>
        </w:rPr>
      </w:pPr>
      <w:r w:rsidRPr="005F3EFC">
        <w:rPr>
          <w:rFonts w:asciiTheme="majorHAnsi" w:hAnsiTheme="majorHAnsi" w:cstheme="majorHAnsi"/>
        </w:rPr>
        <w:t>Check for potential incompatibilities with other drugs via y-site infusion (</w:t>
      </w:r>
      <w:r w:rsidR="004F7B84">
        <w:rPr>
          <w:rFonts w:asciiTheme="majorHAnsi" w:hAnsiTheme="majorHAnsi" w:cstheme="majorHAnsi"/>
        </w:rPr>
        <w:t>e.g.,</w:t>
      </w:r>
      <w:r w:rsidRPr="005F3EFC">
        <w:rPr>
          <w:rFonts w:asciiTheme="majorHAnsi" w:hAnsiTheme="majorHAnsi" w:cstheme="majorHAnsi"/>
        </w:rPr>
        <w:t xml:space="preserve"> piperacillin-tazobactam)</w:t>
      </w:r>
    </w:p>
    <w:p w14:paraId="23012D82" w14:textId="77777777" w:rsidR="00801263" w:rsidRDefault="00801263">
      <w:pPr>
        <w:rPr>
          <w:rFonts w:asciiTheme="majorHAnsi" w:hAnsiTheme="majorHAnsi" w:cstheme="majorHAnsi"/>
          <w:b/>
          <w:bCs/>
        </w:rPr>
      </w:pPr>
    </w:p>
    <w:p w14:paraId="11C31B6B" w14:textId="212EFF34" w:rsidR="002A324C" w:rsidRPr="006E0618" w:rsidRDefault="00681130" w:rsidP="001F5BE7">
      <w:pPr>
        <w:pStyle w:val="Heading2"/>
        <w:rPr>
          <w:rFonts w:asciiTheme="majorHAnsi" w:hAnsiTheme="majorHAnsi" w:cstheme="majorHAnsi"/>
          <w:b/>
          <w:bCs/>
        </w:rPr>
      </w:pPr>
      <w:bookmarkStart w:id="5" w:name="_Toc63242826"/>
      <w:r w:rsidRPr="006E0618">
        <w:rPr>
          <w:rFonts w:asciiTheme="majorHAnsi" w:hAnsiTheme="majorHAnsi" w:cstheme="majorHAnsi"/>
          <w:b/>
          <w:bCs/>
        </w:rPr>
        <w:t>Vancomycin Trough Guided Dosing and Monitoring</w:t>
      </w:r>
      <w:bookmarkEnd w:id="5"/>
    </w:p>
    <w:p w14:paraId="04FF8C7A" w14:textId="77777777" w:rsidR="002A324C" w:rsidRPr="005F3EFC" w:rsidRDefault="00681130">
      <w:pPr>
        <w:numPr>
          <w:ilvl w:val="0"/>
          <w:numId w:val="2"/>
        </w:numPr>
        <w:rPr>
          <w:rFonts w:asciiTheme="majorHAnsi" w:eastAsia="Calibri" w:hAnsiTheme="majorHAnsi" w:cstheme="majorHAnsi"/>
        </w:rPr>
      </w:pPr>
      <w:r w:rsidRPr="005F3EFC">
        <w:rPr>
          <w:rFonts w:asciiTheme="majorHAnsi" w:hAnsiTheme="majorHAnsi" w:cstheme="majorHAnsi"/>
        </w:rPr>
        <w:t xml:space="preserve">1-level (trough concentration only) remains the preferred TDM strategy in certain scenarios to: </w:t>
      </w:r>
    </w:p>
    <w:p w14:paraId="5ABCC510" w14:textId="77777777" w:rsidR="002A324C" w:rsidRPr="005F3EFC" w:rsidRDefault="00681130">
      <w:pPr>
        <w:numPr>
          <w:ilvl w:val="1"/>
          <w:numId w:val="2"/>
        </w:numPr>
        <w:rPr>
          <w:rFonts w:asciiTheme="majorHAnsi" w:eastAsia="Calibri" w:hAnsiTheme="majorHAnsi" w:cstheme="majorHAnsi"/>
        </w:rPr>
      </w:pPr>
      <w:r w:rsidRPr="005F3EFC">
        <w:rPr>
          <w:rFonts w:asciiTheme="majorHAnsi" w:hAnsiTheme="majorHAnsi" w:cstheme="majorHAnsi"/>
        </w:rPr>
        <w:t xml:space="preserve">Balance the potential burden of widespread 2-level monitoring </w:t>
      </w:r>
    </w:p>
    <w:p w14:paraId="16E0DF1E" w14:textId="7A6135D8" w:rsidR="002A324C" w:rsidRDefault="00681130">
      <w:pPr>
        <w:numPr>
          <w:ilvl w:val="1"/>
          <w:numId w:val="2"/>
        </w:numPr>
        <w:rPr>
          <w:rFonts w:asciiTheme="majorHAnsi" w:eastAsia="Calibri" w:hAnsiTheme="majorHAnsi" w:cstheme="majorHAnsi"/>
        </w:rPr>
      </w:pPr>
      <w:r w:rsidRPr="005F3EFC">
        <w:rPr>
          <w:rFonts w:asciiTheme="majorHAnsi" w:hAnsiTheme="majorHAnsi" w:cstheme="majorHAnsi"/>
        </w:rPr>
        <w:t>Acknowledge the broad clinical experience with trough only monitoring</w:t>
      </w:r>
      <w:r w:rsidRPr="005F3EFC">
        <w:rPr>
          <w:rFonts w:asciiTheme="majorHAnsi" w:eastAsia="Calibri" w:hAnsiTheme="majorHAnsi" w:cstheme="majorHAnsi"/>
        </w:rPr>
        <w:t xml:space="preserve"> </w:t>
      </w:r>
    </w:p>
    <w:p w14:paraId="6C329E13" w14:textId="77777777" w:rsidR="00BB13E8" w:rsidRDefault="00BB13E8">
      <w:pPr>
        <w:numPr>
          <w:ilvl w:val="1"/>
          <w:numId w:val="2"/>
        </w:numPr>
        <w:rPr>
          <w:rFonts w:asciiTheme="majorHAnsi" w:eastAsia="Calibri" w:hAnsiTheme="majorHAnsi" w:cstheme="majorHAnsi"/>
        </w:rPr>
      </w:pPr>
      <w:r w:rsidRPr="00BB13E8">
        <w:rPr>
          <w:rFonts w:asciiTheme="majorHAnsi" w:eastAsia="Calibri" w:hAnsiTheme="majorHAnsi" w:cstheme="majorHAnsi"/>
        </w:rPr>
        <w:t>Patients who have vascular access issues</w:t>
      </w:r>
    </w:p>
    <w:p w14:paraId="7E5B891B" w14:textId="4E4DB0AE" w:rsidR="00BB13E8" w:rsidRPr="005F3EFC" w:rsidRDefault="00BB13E8">
      <w:pPr>
        <w:numPr>
          <w:ilvl w:val="1"/>
          <w:numId w:val="2"/>
        </w:numPr>
        <w:rPr>
          <w:rFonts w:asciiTheme="majorHAnsi" w:eastAsia="Calibri" w:hAnsiTheme="majorHAnsi" w:cstheme="majorHAnsi"/>
        </w:rPr>
      </w:pPr>
      <w:r>
        <w:rPr>
          <w:rFonts w:asciiTheme="majorHAnsi" w:eastAsia="Calibri" w:hAnsiTheme="majorHAnsi" w:cstheme="majorHAnsi"/>
        </w:rPr>
        <w:t>O</w:t>
      </w:r>
      <w:r w:rsidRPr="00BB13E8">
        <w:rPr>
          <w:rFonts w:asciiTheme="majorHAnsi" w:eastAsia="Calibri" w:hAnsiTheme="majorHAnsi" w:cstheme="majorHAnsi"/>
        </w:rPr>
        <w:t xml:space="preserve">ther patient care factors where the collection of 2-AUC levels would be challenging </w:t>
      </w:r>
      <w:r>
        <w:rPr>
          <w:rFonts w:asciiTheme="majorHAnsi" w:eastAsia="Calibri" w:hAnsiTheme="majorHAnsi" w:cstheme="majorHAnsi"/>
        </w:rPr>
        <w:t>or not in the best interest of the care team (e.g., C</w:t>
      </w:r>
      <w:r w:rsidR="004F7B84">
        <w:rPr>
          <w:rFonts w:asciiTheme="majorHAnsi" w:eastAsia="Calibri" w:hAnsiTheme="majorHAnsi" w:cstheme="majorHAnsi"/>
        </w:rPr>
        <w:t>ovid</w:t>
      </w:r>
      <w:r>
        <w:rPr>
          <w:rFonts w:asciiTheme="majorHAnsi" w:eastAsia="Calibri" w:hAnsiTheme="majorHAnsi" w:cstheme="majorHAnsi"/>
        </w:rPr>
        <w:t>-19 positive patients)</w:t>
      </w:r>
    </w:p>
    <w:p w14:paraId="4BDC2F61" w14:textId="77777777" w:rsidR="002A324C" w:rsidRPr="005F3EFC" w:rsidRDefault="00681130">
      <w:pPr>
        <w:numPr>
          <w:ilvl w:val="0"/>
          <w:numId w:val="2"/>
        </w:numPr>
        <w:rPr>
          <w:rFonts w:asciiTheme="majorHAnsi" w:eastAsia="Calibri" w:hAnsiTheme="majorHAnsi" w:cstheme="majorHAnsi"/>
        </w:rPr>
      </w:pPr>
      <w:r w:rsidRPr="005F3EFC">
        <w:rPr>
          <w:rFonts w:asciiTheme="majorHAnsi" w:hAnsiTheme="majorHAnsi" w:cstheme="majorHAnsi"/>
        </w:rPr>
        <w:t xml:space="preserve">Considerations for 1-level monitoring: </w:t>
      </w:r>
    </w:p>
    <w:p w14:paraId="59127FE4" w14:textId="77777777" w:rsidR="002A324C" w:rsidRPr="005F3EFC" w:rsidRDefault="00681130">
      <w:pPr>
        <w:numPr>
          <w:ilvl w:val="1"/>
          <w:numId w:val="2"/>
        </w:numPr>
        <w:rPr>
          <w:rFonts w:asciiTheme="majorHAnsi" w:eastAsia="Calibri" w:hAnsiTheme="majorHAnsi" w:cstheme="majorHAnsi"/>
        </w:rPr>
      </w:pPr>
      <w:r w:rsidRPr="005F3EFC">
        <w:rPr>
          <w:rFonts w:asciiTheme="majorHAnsi" w:hAnsiTheme="majorHAnsi" w:cstheme="majorHAnsi"/>
        </w:rPr>
        <w:t>Infection site</w:t>
      </w:r>
    </w:p>
    <w:p w14:paraId="35C13DFF" w14:textId="32C93A06" w:rsidR="002A324C" w:rsidRPr="005F3EFC" w:rsidRDefault="00681130">
      <w:pPr>
        <w:numPr>
          <w:ilvl w:val="2"/>
          <w:numId w:val="2"/>
        </w:numPr>
        <w:rPr>
          <w:rFonts w:asciiTheme="majorHAnsi" w:eastAsia="Calibri" w:hAnsiTheme="majorHAnsi" w:cstheme="majorHAnsi"/>
        </w:rPr>
      </w:pPr>
      <w:r w:rsidRPr="005F3EFC">
        <w:rPr>
          <w:rFonts w:asciiTheme="majorHAnsi" w:hAnsiTheme="majorHAnsi" w:cstheme="majorHAnsi"/>
        </w:rPr>
        <w:t>Mild/Moderate skin and soft tissue infection</w:t>
      </w:r>
      <w:r w:rsidR="00801263">
        <w:rPr>
          <w:rFonts w:asciiTheme="majorHAnsi" w:hAnsiTheme="majorHAnsi" w:cstheme="majorHAnsi"/>
        </w:rPr>
        <w:t xml:space="preserve"> with anticipated early PO switch</w:t>
      </w:r>
    </w:p>
    <w:p w14:paraId="51743641" w14:textId="77777777" w:rsidR="002A324C" w:rsidRPr="005F3EFC" w:rsidRDefault="00681130">
      <w:pPr>
        <w:numPr>
          <w:ilvl w:val="2"/>
          <w:numId w:val="2"/>
        </w:numPr>
        <w:rPr>
          <w:rFonts w:asciiTheme="majorHAnsi" w:eastAsia="Calibri" w:hAnsiTheme="majorHAnsi" w:cstheme="majorHAnsi"/>
        </w:rPr>
      </w:pPr>
      <w:r w:rsidRPr="005F3EFC">
        <w:rPr>
          <w:rFonts w:asciiTheme="majorHAnsi" w:hAnsiTheme="majorHAnsi" w:cstheme="majorHAnsi"/>
        </w:rPr>
        <w:t>Intra-abdominal infection with source control</w:t>
      </w:r>
    </w:p>
    <w:p w14:paraId="7252348D" w14:textId="77777777" w:rsidR="002A324C" w:rsidRPr="005F3EFC" w:rsidRDefault="00681130">
      <w:pPr>
        <w:numPr>
          <w:ilvl w:val="2"/>
          <w:numId w:val="2"/>
        </w:numPr>
        <w:rPr>
          <w:rFonts w:asciiTheme="majorHAnsi" w:eastAsia="Calibri" w:hAnsiTheme="majorHAnsi" w:cstheme="majorHAnsi"/>
        </w:rPr>
      </w:pPr>
      <w:r w:rsidRPr="005F3EFC">
        <w:rPr>
          <w:rFonts w:asciiTheme="majorHAnsi" w:hAnsiTheme="majorHAnsi" w:cstheme="majorHAnsi"/>
        </w:rPr>
        <w:t>Urinary tract infection</w:t>
      </w:r>
    </w:p>
    <w:p w14:paraId="56B6F65D" w14:textId="2CF972D9" w:rsidR="002A324C" w:rsidRPr="005F3EFC" w:rsidRDefault="00681130">
      <w:pPr>
        <w:numPr>
          <w:ilvl w:val="1"/>
          <w:numId w:val="2"/>
        </w:numPr>
        <w:rPr>
          <w:rFonts w:asciiTheme="majorHAnsi" w:eastAsia="Calibri" w:hAnsiTheme="majorHAnsi" w:cstheme="majorHAnsi"/>
        </w:rPr>
      </w:pPr>
      <w:r w:rsidRPr="005F3EFC">
        <w:rPr>
          <w:rFonts w:asciiTheme="majorHAnsi" w:hAnsiTheme="majorHAnsi" w:cstheme="majorHAnsi"/>
        </w:rPr>
        <w:t>Confirmed or suspected non-MRSA infections</w:t>
      </w:r>
      <w:r w:rsidR="00345326">
        <w:rPr>
          <w:rFonts w:asciiTheme="majorHAnsi" w:hAnsiTheme="majorHAnsi" w:cstheme="majorHAnsi"/>
        </w:rPr>
        <w:t xml:space="preserve"> </w:t>
      </w:r>
      <w:r w:rsidR="00345326" w:rsidRPr="00801263">
        <w:rPr>
          <w:rFonts w:asciiTheme="majorHAnsi" w:hAnsiTheme="majorHAnsi" w:cstheme="majorHAnsi"/>
          <w:highlight w:val="yellow"/>
        </w:rPr>
        <w:t>(institution-specific decision)</w:t>
      </w:r>
    </w:p>
    <w:p w14:paraId="4416326A" w14:textId="77777777" w:rsidR="002A324C" w:rsidRPr="005F3EFC" w:rsidRDefault="00681130">
      <w:pPr>
        <w:numPr>
          <w:ilvl w:val="1"/>
          <w:numId w:val="2"/>
        </w:numPr>
        <w:rPr>
          <w:rFonts w:asciiTheme="majorHAnsi" w:eastAsia="Calibri" w:hAnsiTheme="majorHAnsi" w:cstheme="majorHAnsi"/>
        </w:rPr>
      </w:pPr>
      <w:r w:rsidRPr="005F3EFC">
        <w:rPr>
          <w:rFonts w:asciiTheme="majorHAnsi" w:hAnsiTheme="majorHAnsi" w:cstheme="majorHAnsi"/>
        </w:rPr>
        <w:t>Renal function (See recommendations in next section)</w:t>
      </w:r>
    </w:p>
    <w:p w14:paraId="2298E42D" w14:textId="77777777" w:rsidR="002A324C" w:rsidRPr="005F3EFC" w:rsidRDefault="00681130">
      <w:pPr>
        <w:numPr>
          <w:ilvl w:val="2"/>
          <w:numId w:val="2"/>
        </w:numPr>
        <w:rPr>
          <w:rFonts w:asciiTheme="majorHAnsi" w:eastAsia="Calibri" w:hAnsiTheme="majorHAnsi" w:cstheme="majorHAnsi"/>
        </w:rPr>
      </w:pPr>
      <w:r w:rsidRPr="005F3EFC">
        <w:rPr>
          <w:rFonts w:asciiTheme="majorHAnsi" w:hAnsiTheme="majorHAnsi" w:cstheme="majorHAnsi"/>
        </w:rPr>
        <w:t>Acute kidney impairment</w:t>
      </w:r>
    </w:p>
    <w:p w14:paraId="5E7659C1" w14:textId="77777777" w:rsidR="002A324C" w:rsidRPr="005F3EFC" w:rsidRDefault="00681130">
      <w:pPr>
        <w:numPr>
          <w:ilvl w:val="2"/>
          <w:numId w:val="2"/>
        </w:numPr>
        <w:rPr>
          <w:rFonts w:asciiTheme="majorHAnsi" w:eastAsia="Calibri" w:hAnsiTheme="majorHAnsi" w:cstheme="majorHAnsi"/>
        </w:rPr>
      </w:pPr>
      <w:r w:rsidRPr="005F3EFC">
        <w:rPr>
          <w:rFonts w:asciiTheme="majorHAnsi" w:hAnsiTheme="majorHAnsi" w:cstheme="majorHAnsi"/>
        </w:rPr>
        <w:lastRenderedPageBreak/>
        <w:t>Intermittent hemodialysis</w:t>
      </w:r>
    </w:p>
    <w:p w14:paraId="7D5E1EEC" w14:textId="77777777" w:rsidR="002A324C" w:rsidRPr="005F3EFC" w:rsidRDefault="00681130">
      <w:pPr>
        <w:numPr>
          <w:ilvl w:val="2"/>
          <w:numId w:val="2"/>
        </w:numPr>
        <w:rPr>
          <w:rFonts w:asciiTheme="majorHAnsi" w:eastAsia="Calibri" w:hAnsiTheme="majorHAnsi" w:cstheme="majorHAnsi"/>
        </w:rPr>
      </w:pPr>
      <w:r w:rsidRPr="005F3EFC">
        <w:rPr>
          <w:rFonts w:asciiTheme="majorHAnsi" w:hAnsiTheme="majorHAnsi" w:cstheme="majorHAnsi"/>
        </w:rPr>
        <w:t>Peritoneal dialysis</w:t>
      </w:r>
    </w:p>
    <w:p w14:paraId="4DC3201D" w14:textId="5BCF491D" w:rsidR="00681130" w:rsidRPr="00801263" w:rsidRDefault="00681130" w:rsidP="00801263">
      <w:pPr>
        <w:numPr>
          <w:ilvl w:val="2"/>
          <w:numId w:val="2"/>
        </w:numPr>
        <w:rPr>
          <w:rFonts w:asciiTheme="majorHAnsi" w:eastAsia="Calibri" w:hAnsiTheme="majorHAnsi" w:cstheme="majorHAnsi"/>
        </w:rPr>
      </w:pPr>
      <w:r w:rsidRPr="005F3EFC">
        <w:rPr>
          <w:rFonts w:asciiTheme="majorHAnsi" w:hAnsiTheme="majorHAnsi" w:cstheme="majorHAnsi"/>
        </w:rPr>
        <w:t xml:space="preserve">Continuous renal replacement therapy </w:t>
      </w:r>
    </w:p>
    <w:p w14:paraId="39550AC2" w14:textId="150002DC" w:rsidR="007F65F4" w:rsidRPr="007F65F4" w:rsidRDefault="007F65F4" w:rsidP="007F65F4">
      <w:pPr>
        <w:pStyle w:val="ListParagraph"/>
        <w:numPr>
          <w:ilvl w:val="0"/>
          <w:numId w:val="2"/>
        </w:numPr>
        <w:spacing w:before="240" w:after="240"/>
        <w:rPr>
          <w:rFonts w:asciiTheme="majorHAnsi" w:hAnsiTheme="majorHAnsi" w:cstheme="majorHAnsi"/>
          <w:bCs/>
        </w:rPr>
      </w:pPr>
      <w:r>
        <w:rPr>
          <w:rFonts w:asciiTheme="majorHAnsi" w:hAnsiTheme="majorHAnsi" w:cstheme="majorHAnsi"/>
          <w:bCs/>
        </w:rPr>
        <w:t>Dose adjustments can be made based on current institutional guidelines using proportion method or guidance tables such as the on below.</w:t>
      </w:r>
    </w:p>
    <w:p w14:paraId="275F2B7B" w14:textId="0133BFE3" w:rsidR="002A324C" w:rsidRPr="005F3EFC" w:rsidRDefault="00801263">
      <w:pPr>
        <w:spacing w:before="240" w:after="240"/>
        <w:ind w:left="-800"/>
        <w:rPr>
          <w:rFonts w:asciiTheme="majorHAnsi" w:hAnsiTheme="majorHAnsi" w:cstheme="majorHAnsi"/>
          <w:b/>
        </w:rPr>
      </w:pPr>
      <w:r>
        <w:rPr>
          <w:rFonts w:asciiTheme="majorHAnsi" w:hAnsiTheme="majorHAnsi" w:cstheme="majorHAnsi"/>
          <w:b/>
        </w:rPr>
        <w:t xml:space="preserve">EXAMPLE </w:t>
      </w:r>
      <w:r w:rsidR="00681130" w:rsidRPr="005F3EFC">
        <w:rPr>
          <w:rFonts w:asciiTheme="majorHAnsi" w:hAnsiTheme="majorHAnsi" w:cstheme="majorHAnsi"/>
          <w:b/>
        </w:rPr>
        <w:t>Interpretation of vancomycin levels and dose adjustment guide</w:t>
      </w:r>
    </w:p>
    <w:tbl>
      <w:tblPr>
        <w:tblStyle w:val="a1"/>
        <w:tblW w:w="10230" w:type="dxa"/>
        <w:tblInd w:w="-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8070"/>
      </w:tblGrid>
      <w:tr w:rsidR="007F65F4" w:rsidRPr="005F3EFC" w14:paraId="5EC7CCBD" w14:textId="77777777" w:rsidTr="007F65F4">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3DFF5" w14:textId="77777777" w:rsidR="007F65F4" w:rsidRPr="005F3EFC" w:rsidRDefault="007F65F4">
            <w:pPr>
              <w:widowControl w:val="0"/>
              <w:spacing w:line="240" w:lineRule="auto"/>
              <w:ind w:left="-540" w:firstLine="540"/>
              <w:rPr>
                <w:rFonts w:asciiTheme="majorHAnsi" w:hAnsiTheme="majorHAnsi" w:cstheme="majorHAnsi"/>
              </w:rPr>
            </w:pPr>
            <w:r w:rsidRPr="005F3EFC">
              <w:rPr>
                <w:rFonts w:asciiTheme="majorHAnsi" w:hAnsiTheme="majorHAnsi" w:cstheme="majorHAnsi"/>
              </w:rPr>
              <w:t>Trough level</w:t>
            </w:r>
          </w:p>
        </w:tc>
        <w:tc>
          <w:tcPr>
            <w:tcW w:w="8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957C22" w14:textId="77777777" w:rsidR="007F65F4" w:rsidRPr="005F3EFC" w:rsidRDefault="007F65F4">
            <w:pPr>
              <w:widowControl w:val="0"/>
              <w:spacing w:line="240" w:lineRule="auto"/>
              <w:ind w:left="-540" w:firstLine="540"/>
              <w:rPr>
                <w:rFonts w:asciiTheme="majorHAnsi" w:hAnsiTheme="majorHAnsi" w:cstheme="majorHAnsi"/>
              </w:rPr>
            </w:pPr>
            <w:r w:rsidRPr="005F3EFC">
              <w:rPr>
                <w:rFonts w:asciiTheme="majorHAnsi" w:hAnsiTheme="majorHAnsi" w:cstheme="majorHAnsi"/>
              </w:rPr>
              <w:t>Recommended Action</w:t>
            </w:r>
          </w:p>
        </w:tc>
      </w:tr>
      <w:tr w:rsidR="007F65F4" w:rsidRPr="005F3EFC" w14:paraId="1BB3325D" w14:textId="77777777" w:rsidTr="007F65F4">
        <w:tc>
          <w:tcPr>
            <w:tcW w:w="2160" w:type="dxa"/>
            <w:shd w:val="clear" w:color="auto" w:fill="auto"/>
            <w:tcMar>
              <w:top w:w="100" w:type="dxa"/>
              <w:left w:w="100" w:type="dxa"/>
              <w:bottom w:w="100" w:type="dxa"/>
              <w:right w:w="100" w:type="dxa"/>
            </w:tcMar>
          </w:tcPr>
          <w:p w14:paraId="320644D4" w14:textId="77777777" w:rsidR="007F65F4" w:rsidRPr="005F3EFC" w:rsidRDefault="007F65F4">
            <w:pPr>
              <w:widowControl w:val="0"/>
              <w:pBdr>
                <w:top w:val="nil"/>
                <w:left w:val="nil"/>
                <w:bottom w:val="nil"/>
                <w:right w:val="nil"/>
                <w:between w:val="nil"/>
              </w:pBdr>
              <w:spacing w:line="240" w:lineRule="auto"/>
              <w:rPr>
                <w:rFonts w:asciiTheme="majorHAnsi" w:hAnsiTheme="majorHAnsi" w:cstheme="majorHAnsi"/>
              </w:rPr>
            </w:pPr>
            <w:r w:rsidRPr="005F3EFC">
              <w:rPr>
                <w:rFonts w:asciiTheme="majorHAnsi" w:hAnsiTheme="majorHAnsi" w:cstheme="majorHAnsi"/>
              </w:rPr>
              <w:t>&lt; 10 mcg/mL</w:t>
            </w:r>
          </w:p>
          <w:p w14:paraId="3E0780F2" w14:textId="62188341" w:rsidR="007F65F4" w:rsidRPr="005F3EFC" w:rsidRDefault="007F65F4">
            <w:pPr>
              <w:widowControl w:val="0"/>
              <w:pBdr>
                <w:top w:val="nil"/>
                <w:left w:val="nil"/>
                <w:bottom w:val="nil"/>
                <w:right w:val="nil"/>
                <w:between w:val="nil"/>
              </w:pBdr>
              <w:spacing w:line="240" w:lineRule="auto"/>
              <w:rPr>
                <w:rFonts w:asciiTheme="majorHAnsi" w:hAnsiTheme="majorHAnsi" w:cstheme="majorHAnsi"/>
              </w:rPr>
            </w:pPr>
          </w:p>
        </w:tc>
        <w:tc>
          <w:tcPr>
            <w:tcW w:w="8070" w:type="dxa"/>
            <w:shd w:val="clear" w:color="auto" w:fill="auto"/>
            <w:tcMar>
              <w:top w:w="100" w:type="dxa"/>
              <w:left w:w="100" w:type="dxa"/>
              <w:bottom w:w="100" w:type="dxa"/>
              <w:right w:w="100" w:type="dxa"/>
            </w:tcMar>
          </w:tcPr>
          <w:p w14:paraId="36AD1418" w14:textId="77777777" w:rsidR="007F65F4" w:rsidRDefault="007F65F4">
            <w:pPr>
              <w:widowControl w:val="0"/>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If goal is 10-15 mg/L, increase dose by 250 mg</w:t>
            </w:r>
          </w:p>
          <w:p w14:paraId="563A754F" w14:textId="5F56E554" w:rsidR="007F65F4" w:rsidRPr="005F3EFC" w:rsidRDefault="007F65F4">
            <w:pPr>
              <w:widowControl w:val="0"/>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If goal is 15-20 mg/L, increase dose frequency by one level (e.g., q24h to q12h)</w:t>
            </w:r>
          </w:p>
        </w:tc>
      </w:tr>
      <w:tr w:rsidR="007F65F4" w:rsidRPr="005F3EFC" w14:paraId="7729406B" w14:textId="77777777" w:rsidTr="007F65F4">
        <w:trPr>
          <w:trHeight w:val="618"/>
        </w:trPr>
        <w:tc>
          <w:tcPr>
            <w:tcW w:w="2160" w:type="dxa"/>
            <w:shd w:val="clear" w:color="auto" w:fill="auto"/>
            <w:tcMar>
              <w:top w:w="100" w:type="dxa"/>
              <w:left w:w="100" w:type="dxa"/>
              <w:bottom w:w="100" w:type="dxa"/>
              <w:right w:w="100" w:type="dxa"/>
            </w:tcMar>
          </w:tcPr>
          <w:p w14:paraId="449FEB62" w14:textId="77777777" w:rsidR="007F65F4" w:rsidRPr="005F3EFC" w:rsidRDefault="007F65F4">
            <w:pPr>
              <w:widowControl w:val="0"/>
              <w:pBdr>
                <w:top w:val="nil"/>
                <w:left w:val="nil"/>
                <w:bottom w:val="nil"/>
                <w:right w:val="nil"/>
                <w:between w:val="nil"/>
              </w:pBdr>
              <w:spacing w:line="240" w:lineRule="auto"/>
              <w:rPr>
                <w:rFonts w:asciiTheme="majorHAnsi" w:hAnsiTheme="majorHAnsi" w:cstheme="majorHAnsi"/>
              </w:rPr>
            </w:pPr>
            <w:r w:rsidRPr="005F3EFC">
              <w:rPr>
                <w:rFonts w:asciiTheme="majorHAnsi" w:hAnsiTheme="majorHAnsi" w:cstheme="majorHAnsi"/>
              </w:rPr>
              <w:t>10 - 15 mcg/mL</w:t>
            </w:r>
          </w:p>
        </w:tc>
        <w:tc>
          <w:tcPr>
            <w:tcW w:w="8070" w:type="dxa"/>
            <w:shd w:val="clear" w:color="auto" w:fill="auto"/>
            <w:tcMar>
              <w:top w:w="100" w:type="dxa"/>
              <w:left w:w="100" w:type="dxa"/>
              <w:bottom w:w="100" w:type="dxa"/>
              <w:right w:w="100" w:type="dxa"/>
            </w:tcMar>
          </w:tcPr>
          <w:p w14:paraId="50667586" w14:textId="77777777" w:rsidR="007F65F4" w:rsidRPr="005F3EFC" w:rsidRDefault="007F65F4" w:rsidP="007F65F4">
            <w:pPr>
              <w:widowControl w:val="0"/>
              <w:spacing w:line="240" w:lineRule="auto"/>
              <w:rPr>
                <w:rFonts w:asciiTheme="majorHAnsi" w:hAnsiTheme="majorHAnsi" w:cstheme="majorHAnsi"/>
              </w:rPr>
            </w:pPr>
            <w:r w:rsidRPr="005F3EFC">
              <w:rPr>
                <w:rFonts w:asciiTheme="majorHAnsi" w:hAnsiTheme="majorHAnsi" w:cstheme="majorHAnsi"/>
              </w:rPr>
              <w:t>If goal is 10 -15 mcg/mL: No change necessary</w:t>
            </w:r>
          </w:p>
          <w:p w14:paraId="6CD309BB" w14:textId="64D0F4E2" w:rsidR="007F65F4" w:rsidRPr="005F3EFC" w:rsidRDefault="007F65F4" w:rsidP="007F65F4">
            <w:pPr>
              <w:widowControl w:val="0"/>
              <w:spacing w:after="200" w:line="240" w:lineRule="auto"/>
              <w:rPr>
                <w:rFonts w:asciiTheme="majorHAnsi" w:hAnsiTheme="majorHAnsi" w:cstheme="majorHAnsi"/>
              </w:rPr>
            </w:pPr>
            <w:r w:rsidRPr="005F3EFC">
              <w:rPr>
                <w:rFonts w:asciiTheme="majorHAnsi" w:hAnsiTheme="majorHAnsi" w:cstheme="majorHAnsi"/>
              </w:rPr>
              <w:t>If goal is 15 – 20 mcg/mL: Increase dose by 250 m</w:t>
            </w:r>
            <w:r>
              <w:rPr>
                <w:rFonts w:asciiTheme="majorHAnsi" w:hAnsiTheme="majorHAnsi" w:cstheme="majorHAnsi"/>
              </w:rPr>
              <w:t>g</w:t>
            </w:r>
          </w:p>
        </w:tc>
      </w:tr>
      <w:tr w:rsidR="007F65F4" w:rsidRPr="005F3EFC" w14:paraId="0F204FF3" w14:textId="77777777" w:rsidTr="007F65F4">
        <w:tc>
          <w:tcPr>
            <w:tcW w:w="2160" w:type="dxa"/>
            <w:shd w:val="clear" w:color="auto" w:fill="auto"/>
            <w:tcMar>
              <w:top w:w="100" w:type="dxa"/>
              <w:left w:w="100" w:type="dxa"/>
              <w:bottom w:w="100" w:type="dxa"/>
              <w:right w:w="100" w:type="dxa"/>
            </w:tcMar>
          </w:tcPr>
          <w:p w14:paraId="049941E2" w14:textId="77777777" w:rsidR="007F65F4" w:rsidRPr="005F3EFC" w:rsidRDefault="007F65F4">
            <w:pPr>
              <w:widowControl w:val="0"/>
              <w:pBdr>
                <w:top w:val="nil"/>
                <w:left w:val="nil"/>
                <w:bottom w:val="nil"/>
                <w:right w:val="nil"/>
                <w:between w:val="nil"/>
              </w:pBdr>
              <w:spacing w:line="240" w:lineRule="auto"/>
              <w:rPr>
                <w:rFonts w:asciiTheme="majorHAnsi" w:hAnsiTheme="majorHAnsi" w:cstheme="majorHAnsi"/>
              </w:rPr>
            </w:pPr>
            <w:r w:rsidRPr="005F3EFC">
              <w:rPr>
                <w:rFonts w:asciiTheme="majorHAnsi" w:hAnsiTheme="majorHAnsi" w:cstheme="majorHAnsi"/>
              </w:rPr>
              <w:t>15 - 20 mcg/mL</w:t>
            </w:r>
          </w:p>
        </w:tc>
        <w:tc>
          <w:tcPr>
            <w:tcW w:w="8070" w:type="dxa"/>
            <w:shd w:val="clear" w:color="auto" w:fill="auto"/>
            <w:tcMar>
              <w:top w:w="100" w:type="dxa"/>
              <w:left w:w="100" w:type="dxa"/>
              <w:bottom w:w="100" w:type="dxa"/>
              <w:right w:w="100" w:type="dxa"/>
            </w:tcMar>
          </w:tcPr>
          <w:p w14:paraId="26EA1E29" w14:textId="43282F2E" w:rsidR="007F65F4" w:rsidRPr="005F3EFC" w:rsidRDefault="007F65F4" w:rsidP="007F65F4">
            <w:pPr>
              <w:widowControl w:val="0"/>
              <w:spacing w:line="240" w:lineRule="auto"/>
              <w:rPr>
                <w:rFonts w:asciiTheme="majorHAnsi" w:hAnsiTheme="majorHAnsi" w:cstheme="majorHAnsi"/>
              </w:rPr>
            </w:pPr>
            <w:r w:rsidRPr="005F3EFC">
              <w:rPr>
                <w:rFonts w:asciiTheme="majorHAnsi" w:hAnsiTheme="majorHAnsi" w:cstheme="majorHAnsi"/>
              </w:rPr>
              <w:t>If goal is 10 -15 mcg/mL: Decrease dose by 250 mg</w:t>
            </w:r>
          </w:p>
          <w:p w14:paraId="08BB28FE" w14:textId="55A24151" w:rsidR="007F65F4" w:rsidRPr="005F3EFC" w:rsidRDefault="007F65F4" w:rsidP="007F65F4">
            <w:pPr>
              <w:widowControl w:val="0"/>
              <w:spacing w:after="200" w:line="240" w:lineRule="auto"/>
              <w:rPr>
                <w:rFonts w:asciiTheme="majorHAnsi" w:hAnsiTheme="majorHAnsi" w:cstheme="majorHAnsi"/>
              </w:rPr>
            </w:pPr>
            <w:r w:rsidRPr="005F3EFC">
              <w:rPr>
                <w:rFonts w:asciiTheme="majorHAnsi" w:hAnsiTheme="majorHAnsi" w:cstheme="majorHAnsi"/>
              </w:rPr>
              <w:t>If goal is 15 – 20 mcg/mL: No change necessary</w:t>
            </w:r>
          </w:p>
        </w:tc>
      </w:tr>
      <w:tr w:rsidR="007F65F4" w:rsidRPr="005F3EFC" w14:paraId="1A6477DA" w14:textId="77777777" w:rsidTr="007F65F4">
        <w:tc>
          <w:tcPr>
            <w:tcW w:w="2160" w:type="dxa"/>
            <w:shd w:val="clear" w:color="auto" w:fill="auto"/>
            <w:tcMar>
              <w:top w:w="100" w:type="dxa"/>
              <w:left w:w="100" w:type="dxa"/>
              <w:bottom w:w="100" w:type="dxa"/>
              <w:right w:w="100" w:type="dxa"/>
            </w:tcMar>
          </w:tcPr>
          <w:p w14:paraId="65A7CF2D" w14:textId="77777777" w:rsidR="007F65F4" w:rsidRPr="005F3EFC" w:rsidRDefault="007F65F4">
            <w:pPr>
              <w:widowControl w:val="0"/>
              <w:pBdr>
                <w:top w:val="nil"/>
                <w:left w:val="nil"/>
                <w:bottom w:val="nil"/>
                <w:right w:val="nil"/>
                <w:between w:val="nil"/>
              </w:pBdr>
              <w:spacing w:line="240" w:lineRule="auto"/>
              <w:rPr>
                <w:rFonts w:asciiTheme="majorHAnsi" w:hAnsiTheme="majorHAnsi" w:cstheme="majorHAnsi"/>
              </w:rPr>
            </w:pPr>
            <w:r w:rsidRPr="005F3EFC">
              <w:rPr>
                <w:rFonts w:asciiTheme="majorHAnsi" w:hAnsiTheme="majorHAnsi" w:cstheme="majorHAnsi"/>
              </w:rPr>
              <w:t>21 - 25 mcg/mL</w:t>
            </w:r>
          </w:p>
        </w:tc>
        <w:tc>
          <w:tcPr>
            <w:tcW w:w="8070" w:type="dxa"/>
            <w:shd w:val="clear" w:color="auto" w:fill="auto"/>
            <w:tcMar>
              <w:top w:w="100" w:type="dxa"/>
              <w:left w:w="100" w:type="dxa"/>
              <w:bottom w:w="100" w:type="dxa"/>
              <w:right w:w="100" w:type="dxa"/>
            </w:tcMar>
          </w:tcPr>
          <w:p w14:paraId="5C5DA4AF" w14:textId="6497ECAD" w:rsidR="007F65F4" w:rsidRPr="005F3EFC" w:rsidRDefault="007F65F4" w:rsidP="007F65F4">
            <w:pPr>
              <w:widowControl w:val="0"/>
              <w:spacing w:line="240" w:lineRule="auto"/>
              <w:rPr>
                <w:rFonts w:asciiTheme="majorHAnsi" w:hAnsiTheme="majorHAnsi" w:cstheme="majorHAnsi"/>
              </w:rPr>
            </w:pPr>
            <w:r w:rsidRPr="005F3EFC">
              <w:rPr>
                <w:rFonts w:asciiTheme="majorHAnsi" w:hAnsiTheme="majorHAnsi" w:cstheme="majorHAnsi"/>
              </w:rPr>
              <w:t xml:space="preserve">If goal is 10 -15 mcg/mL: Decrease </w:t>
            </w:r>
            <w:r>
              <w:rPr>
                <w:rFonts w:asciiTheme="majorHAnsi" w:hAnsiTheme="majorHAnsi" w:cstheme="majorHAnsi"/>
              </w:rPr>
              <w:t>frequency by one level (e.g., q12h to q24h)</w:t>
            </w:r>
          </w:p>
          <w:p w14:paraId="2AD076A6" w14:textId="45FFA009" w:rsidR="007F65F4" w:rsidRPr="005F3EFC" w:rsidRDefault="007F65F4" w:rsidP="007F65F4">
            <w:pPr>
              <w:widowControl w:val="0"/>
              <w:pBdr>
                <w:top w:val="nil"/>
                <w:left w:val="nil"/>
                <w:bottom w:val="nil"/>
                <w:right w:val="nil"/>
                <w:between w:val="nil"/>
              </w:pBdr>
              <w:spacing w:line="240" w:lineRule="auto"/>
              <w:rPr>
                <w:rFonts w:asciiTheme="majorHAnsi" w:hAnsiTheme="majorHAnsi" w:cstheme="majorHAnsi"/>
              </w:rPr>
            </w:pPr>
            <w:r w:rsidRPr="005F3EFC">
              <w:rPr>
                <w:rFonts w:asciiTheme="majorHAnsi" w:hAnsiTheme="majorHAnsi" w:cstheme="majorHAnsi"/>
              </w:rPr>
              <w:t xml:space="preserve">If goal is 15 – 20 mcg/mL: </w:t>
            </w:r>
            <w:r>
              <w:rPr>
                <w:rFonts w:asciiTheme="majorHAnsi" w:hAnsiTheme="majorHAnsi" w:cstheme="majorHAnsi"/>
              </w:rPr>
              <w:t>Decrease dose by 250 mg</w:t>
            </w:r>
          </w:p>
        </w:tc>
      </w:tr>
      <w:tr w:rsidR="007F65F4" w:rsidRPr="005F3EFC" w14:paraId="4A8D714A" w14:textId="77777777" w:rsidTr="007F65F4">
        <w:tc>
          <w:tcPr>
            <w:tcW w:w="2160" w:type="dxa"/>
            <w:shd w:val="clear" w:color="auto" w:fill="auto"/>
            <w:tcMar>
              <w:top w:w="100" w:type="dxa"/>
              <w:left w:w="100" w:type="dxa"/>
              <w:bottom w:w="100" w:type="dxa"/>
              <w:right w:w="100" w:type="dxa"/>
            </w:tcMar>
          </w:tcPr>
          <w:p w14:paraId="1B56ACDB" w14:textId="77777777" w:rsidR="007F65F4" w:rsidRPr="005F3EFC" w:rsidRDefault="007F65F4">
            <w:pPr>
              <w:widowControl w:val="0"/>
              <w:pBdr>
                <w:top w:val="nil"/>
                <w:left w:val="nil"/>
                <w:bottom w:val="nil"/>
                <w:right w:val="nil"/>
                <w:between w:val="nil"/>
              </w:pBdr>
              <w:spacing w:line="240" w:lineRule="auto"/>
              <w:rPr>
                <w:rFonts w:asciiTheme="majorHAnsi" w:hAnsiTheme="majorHAnsi" w:cstheme="majorHAnsi"/>
              </w:rPr>
            </w:pPr>
            <w:r w:rsidRPr="005F3EFC">
              <w:rPr>
                <w:rFonts w:asciiTheme="majorHAnsi" w:hAnsiTheme="majorHAnsi" w:cstheme="majorHAnsi"/>
              </w:rPr>
              <w:t>&gt; 25 mcg/mL</w:t>
            </w:r>
          </w:p>
        </w:tc>
        <w:tc>
          <w:tcPr>
            <w:tcW w:w="8070" w:type="dxa"/>
            <w:shd w:val="clear" w:color="auto" w:fill="auto"/>
            <w:tcMar>
              <w:top w:w="100" w:type="dxa"/>
              <w:left w:w="100" w:type="dxa"/>
              <w:bottom w:w="100" w:type="dxa"/>
              <w:right w:w="100" w:type="dxa"/>
            </w:tcMar>
          </w:tcPr>
          <w:p w14:paraId="060514EF" w14:textId="77777777" w:rsidR="007F65F4" w:rsidRPr="005F3EFC" w:rsidRDefault="007F65F4">
            <w:pPr>
              <w:widowControl w:val="0"/>
              <w:rPr>
                <w:rFonts w:asciiTheme="majorHAnsi" w:hAnsiTheme="majorHAnsi" w:cstheme="majorHAnsi"/>
              </w:rPr>
            </w:pPr>
            <w:r w:rsidRPr="005F3EFC">
              <w:rPr>
                <w:rFonts w:asciiTheme="majorHAnsi" w:hAnsiTheme="majorHAnsi" w:cstheme="majorHAnsi"/>
              </w:rPr>
              <w:t>Hold dose</w:t>
            </w:r>
          </w:p>
          <w:p w14:paraId="16335696" w14:textId="4967AE8F" w:rsidR="007F65F4" w:rsidRPr="005F3EFC" w:rsidRDefault="007F65F4" w:rsidP="007F65F4">
            <w:pPr>
              <w:widowControl w:val="0"/>
              <w:spacing w:line="240" w:lineRule="auto"/>
              <w:ind w:left="-20"/>
              <w:rPr>
                <w:rFonts w:asciiTheme="majorHAnsi" w:hAnsiTheme="majorHAnsi" w:cstheme="majorHAnsi"/>
              </w:rPr>
            </w:pPr>
            <w:r w:rsidRPr="005F3EFC">
              <w:rPr>
                <w:rFonts w:asciiTheme="majorHAnsi" w:hAnsiTheme="majorHAnsi" w:cstheme="majorHAnsi"/>
              </w:rPr>
              <w:t>Use pharmacokinetic equations to estimate when concentration will be &lt;20 mcg/mL</w:t>
            </w:r>
            <w:r>
              <w:rPr>
                <w:rFonts w:asciiTheme="majorHAnsi" w:hAnsiTheme="majorHAnsi" w:cstheme="majorHAnsi"/>
              </w:rPr>
              <w:t xml:space="preserve"> to re-start new dosing regimen and/or c</w:t>
            </w:r>
            <w:r w:rsidRPr="005F3EFC">
              <w:rPr>
                <w:rFonts w:asciiTheme="majorHAnsi" w:hAnsiTheme="majorHAnsi" w:cstheme="majorHAnsi"/>
              </w:rPr>
              <w:t>heck a random level and re</w:t>
            </w:r>
            <w:r>
              <w:rPr>
                <w:rFonts w:asciiTheme="majorHAnsi" w:hAnsiTheme="majorHAnsi" w:cstheme="majorHAnsi"/>
              </w:rPr>
              <w:t>-</w:t>
            </w:r>
            <w:r w:rsidRPr="005F3EFC">
              <w:rPr>
                <w:rFonts w:asciiTheme="majorHAnsi" w:hAnsiTheme="majorHAnsi" w:cstheme="majorHAnsi"/>
              </w:rPr>
              <w:t>dose when concentration is &lt;20 mcg/mL</w:t>
            </w:r>
          </w:p>
        </w:tc>
      </w:tr>
    </w:tbl>
    <w:p w14:paraId="2F3FF196" w14:textId="77777777" w:rsidR="002A324C" w:rsidRPr="005F3EFC" w:rsidRDefault="00681130">
      <w:pPr>
        <w:spacing w:before="240" w:after="240"/>
        <w:ind w:left="-800"/>
        <w:rPr>
          <w:rFonts w:asciiTheme="majorHAnsi" w:hAnsiTheme="majorHAnsi" w:cstheme="majorHAnsi"/>
        </w:rPr>
      </w:pPr>
      <w:r w:rsidRPr="005F3EFC">
        <w:rPr>
          <w:rFonts w:asciiTheme="majorHAnsi" w:hAnsiTheme="majorHAnsi" w:cstheme="majorHAnsi"/>
        </w:rPr>
        <w:t xml:space="preserve"> </w:t>
      </w:r>
    </w:p>
    <w:p w14:paraId="4323C8D4" w14:textId="77777777" w:rsidR="002A324C" w:rsidRPr="005F3EFC" w:rsidRDefault="00681130">
      <w:pPr>
        <w:rPr>
          <w:rFonts w:asciiTheme="majorHAnsi" w:eastAsia="Calibri" w:hAnsiTheme="majorHAnsi" w:cstheme="majorHAnsi"/>
        </w:rPr>
      </w:pPr>
      <w:r w:rsidRPr="005F3EFC">
        <w:rPr>
          <w:rFonts w:asciiTheme="majorHAnsi" w:eastAsia="Calibri" w:hAnsiTheme="majorHAnsi" w:cstheme="majorHAnsi"/>
        </w:rPr>
        <w:t xml:space="preserve"> </w:t>
      </w:r>
    </w:p>
    <w:p w14:paraId="75D5F75D" w14:textId="25DA29C7" w:rsidR="002A324C" w:rsidRPr="00801263" w:rsidRDefault="00C9009C" w:rsidP="00681130">
      <w:pPr>
        <w:rPr>
          <w:rFonts w:asciiTheme="majorHAnsi" w:hAnsiTheme="majorHAnsi" w:cstheme="majorHAnsi"/>
          <w:b/>
        </w:rPr>
      </w:pPr>
      <w:r w:rsidRPr="00801263">
        <w:rPr>
          <w:rFonts w:asciiTheme="majorHAnsi" w:hAnsiTheme="majorHAnsi" w:cstheme="majorHAnsi"/>
          <w:b/>
        </w:rPr>
        <w:t>Other Lab Monitoring</w:t>
      </w:r>
    </w:p>
    <w:p w14:paraId="068FA975" w14:textId="06C21EE4" w:rsidR="00C9009C" w:rsidRDefault="00C9009C" w:rsidP="00C9009C">
      <w:pPr>
        <w:pStyle w:val="ListParagraph"/>
        <w:numPr>
          <w:ilvl w:val="0"/>
          <w:numId w:val="20"/>
        </w:numPr>
        <w:rPr>
          <w:rFonts w:asciiTheme="majorHAnsi" w:hAnsiTheme="majorHAnsi" w:cstheme="majorHAnsi"/>
        </w:rPr>
      </w:pPr>
      <w:r w:rsidRPr="00801263">
        <w:rPr>
          <w:rFonts w:asciiTheme="majorHAnsi" w:hAnsiTheme="majorHAnsi" w:cstheme="majorHAnsi"/>
        </w:rPr>
        <w:t xml:space="preserve">SCr </w:t>
      </w:r>
      <w:r w:rsidR="00801263">
        <w:rPr>
          <w:rFonts w:asciiTheme="majorHAnsi" w:hAnsiTheme="majorHAnsi" w:cstheme="majorHAnsi"/>
        </w:rPr>
        <w:t xml:space="preserve">should </w:t>
      </w:r>
      <w:r w:rsidRPr="00801263">
        <w:rPr>
          <w:rFonts w:asciiTheme="majorHAnsi" w:hAnsiTheme="majorHAnsi" w:cstheme="majorHAnsi"/>
        </w:rPr>
        <w:t xml:space="preserve">be checked every 72 hours, at a minimum. </w:t>
      </w:r>
    </w:p>
    <w:p w14:paraId="6D231A87" w14:textId="77777777" w:rsidR="00C9009C" w:rsidRDefault="00C9009C" w:rsidP="00C9009C">
      <w:pPr>
        <w:pStyle w:val="ListParagraph"/>
        <w:numPr>
          <w:ilvl w:val="0"/>
          <w:numId w:val="20"/>
        </w:numPr>
        <w:rPr>
          <w:rFonts w:asciiTheme="majorHAnsi" w:hAnsiTheme="majorHAnsi" w:cstheme="majorHAnsi"/>
        </w:rPr>
      </w:pPr>
      <w:r w:rsidRPr="00801263">
        <w:rPr>
          <w:rFonts w:asciiTheme="majorHAnsi" w:hAnsiTheme="majorHAnsi" w:cstheme="majorHAnsi"/>
        </w:rPr>
        <w:t>Daily SCr will be checked if the patient experiences a change in SCr ≥0.3 mg/dL or ≥50% increase from baseline or last value within 24-48 hours, is oliguric, has a new requirement for renal replacement therapy, or for any other safety concerns</w:t>
      </w:r>
    </w:p>
    <w:p w14:paraId="5B974BBC" w14:textId="76BD981D" w:rsidR="00C9009C" w:rsidRPr="00801263" w:rsidRDefault="00C9009C" w:rsidP="00801263">
      <w:pPr>
        <w:pStyle w:val="ListParagraph"/>
        <w:numPr>
          <w:ilvl w:val="0"/>
          <w:numId w:val="20"/>
        </w:numPr>
        <w:rPr>
          <w:rFonts w:asciiTheme="majorHAnsi" w:hAnsiTheme="majorHAnsi" w:cstheme="majorHAnsi"/>
        </w:rPr>
      </w:pPr>
      <w:r w:rsidRPr="00801263">
        <w:rPr>
          <w:rFonts w:asciiTheme="majorHAnsi" w:hAnsiTheme="majorHAnsi" w:cstheme="majorHAnsi"/>
        </w:rPr>
        <w:t>CBC with diff should be checked weekly, at a minimum.</w:t>
      </w:r>
    </w:p>
    <w:p w14:paraId="11B14FBE" w14:textId="5A4CEA70" w:rsidR="00681130" w:rsidRDefault="00681130" w:rsidP="00681130">
      <w:pPr>
        <w:rPr>
          <w:rFonts w:asciiTheme="majorHAnsi" w:hAnsiTheme="majorHAnsi" w:cstheme="majorHAnsi"/>
        </w:rPr>
      </w:pPr>
    </w:p>
    <w:p w14:paraId="53CAB04A" w14:textId="21D9EC6A" w:rsidR="00681130" w:rsidRDefault="00681130" w:rsidP="00681130">
      <w:pPr>
        <w:rPr>
          <w:rFonts w:asciiTheme="majorHAnsi" w:hAnsiTheme="majorHAnsi" w:cstheme="majorHAnsi"/>
        </w:rPr>
      </w:pPr>
    </w:p>
    <w:p w14:paraId="52FA5C54" w14:textId="69B4F65A" w:rsidR="00801263" w:rsidRDefault="00801263" w:rsidP="00681130">
      <w:pPr>
        <w:rPr>
          <w:rFonts w:asciiTheme="majorHAnsi" w:hAnsiTheme="majorHAnsi" w:cstheme="majorHAnsi"/>
        </w:rPr>
      </w:pPr>
    </w:p>
    <w:p w14:paraId="2C7F97F5" w14:textId="56406DD4" w:rsidR="002A324C" w:rsidRDefault="00681130" w:rsidP="00B56C7C">
      <w:pPr>
        <w:pStyle w:val="Heading1"/>
        <w:rPr>
          <w:rFonts w:asciiTheme="majorHAnsi" w:hAnsiTheme="majorHAnsi" w:cstheme="majorHAnsi"/>
          <w:b/>
          <w:bCs/>
        </w:rPr>
      </w:pPr>
      <w:bookmarkStart w:id="6" w:name="_Toc63242827"/>
      <w:r w:rsidRPr="00681130">
        <w:rPr>
          <w:rFonts w:asciiTheme="majorHAnsi" w:hAnsiTheme="majorHAnsi" w:cstheme="majorHAnsi"/>
          <w:b/>
          <w:bCs/>
        </w:rPr>
        <w:lastRenderedPageBreak/>
        <w:t>Vancomycin Dosing in Special Populations</w:t>
      </w:r>
      <w:bookmarkEnd w:id="6"/>
    </w:p>
    <w:p w14:paraId="00C24C3D" w14:textId="77777777" w:rsidR="00681130" w:rsidRPr="00681130" w:rsidRDefault="00681130" w:rsidP="00681130">
      <w:pPr>
        <w:rPr>
          <w:rFonts w:asciiTheme="majorHAnsi" w:hAnsiTheme="majorHAnsi" w:cstheme="majorHAnsi"/>
          <w:b/>
          <w:bCs/>
        </w:rPr>
      </w:pPr>
    </w:p>
    <w:p w14:paraId="35F55E82" w14:textId="77777777" w:rsidR="002A324C" w:rsidRPr="005F3EFC" w:rsidRDefault="00681130" w:rsidP="00B56C7C">
      <w:pPr>
        <w:pStyle w:val="Heading2"/>
        <w:rPr>
          <w:rFonts w:asciiTheme="majorHAnsi" w:eastAsia="Calibri" w:hAnsiTheme="majorHAnsi" w:cstheme="majorHAnsi"/>
          <w:b/>
          <w:u w:val="single"/>
        </w:rPr>
      </w:pPr>
      <w:bookmarkStart w:id="7" w:name="_Toc63242828"/>
      <w:r w:rsidRPr="005F3EFC">
        <w:rPr>
          <w:rFonts w:asciiTheme="majorHAnsi" w:eastAsia="Calibri" w:hAnsiTheme="majorHAnsi" w:cstheme="majorHAnsi"/>
          <w:b/>
          <w:u w:val="single"/>
        </w:rPr>
        <w:t>Patients with renal insufficiency requiring dialysis</w:t>
      </w:r>
      <w:bookmarkEnd w:id="7"/>
    </w:p>
    <w:p w14:paraId="2137662A" w14:textId="77777777" w:rsidR="002A324C" w:rsidRPr="005F3EFC" w:rsidRDefault="00681130">
      <w:pPr>
        <w:tabs>
          <w:tab w:val="left" w:pos="6480"/>
        </w:tabs>
        <w:ind w:left="360"/>
        <w:rPr>
          <w:rFonts w:asciiTheme="majorHAnsi" w:eastAsia="Calibri" w:hAnsiTheme="majorHAnsi" w:cstheme="majorHAnsi"/>
          <w:i/>
        </w:rPr>
      </w:pPr>
      <w:r w:rsidRPr="005F3EFC">
        <w:rPr>
          <w:rFonts w:asciiTheme="majorHAnsi" w:eastAsia="Calibri" w:hAnsiTheme="majorHAnsi" w:cstheme="majorHAnsi"/>
          <w:i/>
        </w:rPr>
        <w:t>Intermittent Hemodialysis</w:t>
      </w:r>
    </w:p>
    <w:p w14:paraId="655710ED" w14:textId="77777777" w:rsidR="002A324C" w:rsidRPr="005F3EFC" w:rsidRDefault="00681130">
      <w:pPr>
        <w:numPr>
          <w:ilvl w:val="0"/>
          <w:numId w:val="6"/>
        </w:numPr>
        <w:spacing w:line="240" w:lineRule="auto"/>
        <w:rPr>
          <w:rFonts w:asciiTheme="majorHAnsi" w:eastAsia="Calibri" w:hAnsiTheme="majorHAnsi" w:cstheme="majorHAnsi"/>
        </w:rPr>
      </w:pPr>
      <w:r w:rsidRPr="005F3EFC">
        <w:rPr>
          <w:rFonts w:asciiTheme="majorHAnsi" w:eastAsia="Calibri" w:hAnsiTheme="majorHAnsi" w:cstheme="majorHAnsi"/>
        </w:rPr>
        <w:t xml:space="preserve">Clinical judgment should guide the exact dosing, frequency and monitoring of therapy </w:t>
      </w:r>
    </w:p>
    <w:p w14:paraId="583152BA" w14:textId="77777777" w:rsidR="002A324C" w:rsidRPr="005F3EFC" w:rsidRDefault="00681130">
      <w:pPr>
        <w:numPr>
          <w:ilvl w:val="0"/>
          <w:numId w:val="6"/>
        </w:numPr>
        <w:spacing w:line="240" w:lineRule="auto"/>
        <w:rPr>
          <w:rFonts w:asciiTheme="majorHAnsi" w:eastAsia="Calibri" w:hAnsiTheme="majorHAnsi" w:cstheme="majorHAnsi"/>
        </w:rPr>
      </w:pPr>
      <w:r w:rsidRPr="005F3EFC">
        <w:rPr>
          <w:rFonts w:asciiTheme="majorHAnsi" w:eastAsia="Calibri" w:hAnsiTheme="majorHAnsi" w:cstheme="majorHAnsi"/>
        </w:rPr>
        <w:t>Routine vancomycin levels prior to or after each dialysis session are NOT necessary and are strongly discouraged.</w:t>
      </w:r>
    </w:p>
    <w:p w14:paraId="773F825B" w14:textId="77777777" w:rsidR="002A324C" w:rsidRPr="005F3EFC" w:rsidRDefault="00681130">
      <w:pPr>
        <w:numPr>
          <w:ilvl w:val="0"/>
          <w:numId w:val="6"/>
        </w:numPr>
        <w:spacing w:line="240" w:lineRule="auto"/>
        <w:rPr>
          <w:rFonts w:asciiTheme="majorHAnsi" w:eastAsia="Calibri" w:hAnsiTheme="majorHAnsi" w:cstheme="majorHAnsi"/>
        </w:rPr>
      </w:pPr>
      <w:r w:rsidRPr="005F3EFC">
        <w:rPr>
          <w:rFonts w:asciiTheme="majorHAnsi" w:eastAsia="Calibri" w:hAnsiTheme="majorHAnsi" w:cstheme="majorHAnsi"/>
        </w:rPr>
        <w:t>Approximately 30% of vancomycin is removed during a full 4-hour hemodialysis session and can be used an estimate to predict an approximate post-hemodialysis vancomycin concentration</w:t>
      </w:r>
    </w:p>
    <w:p w14:paraId="5A78E6A0" w14:textId="08FF630B" w:rsidR="002A324C" w:rsidRPr="005F3EFC" w:rsidRDefault="00681130">
      <w:pPr>
        <w:numPr>
          <w:ilvl w:val="0"/>
          <w:numId w:val="6"/>
        </w:numPr>
        <w:spacing w:line="240" w:lineRule="auto"/>
        <w:rPr>
          <w:rFonts w:asciiTheme="majorHAnsi" w:eastAsia="Calibri" w:hAnsiTheme="majorHAnsi" w:cstheme="majorHAnsi"/>
        </w:rPr>
      </w:pPr>
      <w:r w:rsidRPr="005F3EFC">
        <w:rPr>
          <w:rFonts w:asciiTheme="majorHAnsi" w:eastAsia="Calibri" w:hAnsiTheme="majorHAnsi" w:cstheme="majorHAnsi"/>
        </w:rPr>
        <w:t>Consider scheduling vancomycin among patients with stage 5 chronic kidney disease with limited intrinsic renal function receiving a stable thrice weekly dialysis regimen (e.g. MWF or TTS).</w:t>
      </w:r>
    </w:p>
    <w:p w14:paraId="6B3474D8" w14:textId="77777777" w:rsidR="002A324C" w:rsidRPr="005F3EFC" w:rsidRDefault="00681130">
      <w:pPr>
        <w:numPr>
          <w:ilvl w:val="0"/>
          <w:numId w:val="6"/>
        </w:numPr>
        <w:spacing w:line="240" w:lineRule="auto"/>
        <w:rPr>
          <w:rFonts w:asciiTheme="majorHAnsi" w:eastAsia="Calibri" w:hAnsiTheme="majorHAnsi" w:cstheme="majorHAnsi"/>
        </w:rPr>
      </w:pPr>
      <w:r w:rsidRPr="005F3EFC">
        <w:rPr>
          <w:rFonts w:asciiTheme="majorHAnsi" w:eastAsia="Calibri" w:hAnsiTheme="majorHAnsi" w:cstheme="majorHAnsi"/>
        </w:rPr>
        <w:t>Consider obtaining random pre-dialysis vancomycin level with am labs the day of every third HD session (can be collected with AM labs to minimize the number of blood draws)</w:t>
      </w:r>
    </w:p>
    <w:p w14:paraId="567371D0" w14:textId="38F37B0E" w:rsidR="002A324C" w:rsidRDefault="00681130">
      <w:pPr>
        <w:numPr>
          <w:ilvl w:val="0"/>
          <w:numId w:val="6"/>
        </w:numPr>
        <w:spacing w:line="240" w:lineRule="auto"/>
        <w:rPr>
          <w:rFonts w:asciiTheme="majorHAnsi" w:eastAsia="Calibri" w:hAnsiTheme="majorHAnsi" w:cstheme="majorHAnsi"/>
        </w:rPr>
      </w:pPr>
      <w:r w:rsidRPr="005F3EFC">
        <w:rPr>
          <w:rFonts w:asciiTheme="majorHAnsi" w:eastAsia="Calibri" w:hAnsiTheme="majorHAnsi" w:cstheme="majorHAnsi"/>
        </w:rPr>
        <w:t xml:space="preserve">An </w:t>
      </w:r>
      <w:r w:rsidRPr="00681130">
        <w:rPr>
          <w:rFonts w:asciiTheme="majorHAnsi" w:eastAsia="Calibri" w:hAnsiTheme="majorHAnsi" w:cstheme="majorHAnsi"/>
          <w:highlight w:val="yellow"/>
        </w:rPr>
        <w:t>*example*</w:t>
      </w:r>
      <w:r w:rsidRPr="005F3EFC">
        <w:rPr>
          <w:rFonts w:asciiTheme="majorHAnsi" w:eastAsia="Calibri" w:hAnsiTheme="majorHAnsi" w:cstheme="majorHAnsi"/>
        </w:rPr>
        <w:t xml:space="preserve"> dosing algorithm is provided below (adapted from Lewis SJ, Mueller BA. J Clin Pharmacol 2020, doi:10.1002/jcph.1727 and Zelenitsky SA et al. Clin Infect Dis 2012;55(4):527-33.)</w:t>
      </w:r>
    </w:p>
    <w:p w14:paraId="6FC49915" w14:textId="6431AD7E" w:rsidR="00681130" w:rsidRDefault="00681130" w:rsidP="00681130">
      <w:pPr>
        <w:spacing w:line="240" w:lineRule="auto"/>
        <w:ind w:left="765"/>
        <w:rPr>
          <w:rFonts w:asciiTheme="majorHAnsi" w:eastAsia="Calibri" w:hAnsiTheme="majorHAnsi" w:cstheme="majorHAnsi"/>
        </w:rPr>
      </w:pPr>
    </w:p>
    <w:p w14:paraId="60D9A625" w14:textId="18C7BE73" w:rsidR="00681130" w:rsidRDefault="00681130" w:rsidP="00681130">
      <w:pPr>
        <w:spacing w:line="240" w:lineRule="auto"/>
        <w:ind w:left="765"/>
        <w:rPr>
          <w:rFonts w:asciiTheme="majorHAnsi" w:eastAsia="Calibri" w:hAnsiTheme="majorHAnsi" w:cstheme="majorHAnsi"/>
        </w:rPr>
      </w:pPr>
    </w:p>
    <w:p w14:paraId="41E1EF8F" w14:textId="13B01A1E" w:rsidR="00681130" w:rsidRDefault="00681130" w:rsidP="00681130">
      <w:pPr>
        <w:spacing w:line="240" w:lineRule="auto"/>
        <w:ind w:left="765"/>
        <w:rPr>
          <w:rFonts w:asciiTheme="majorHAnsi" w:eastAsia="Calibri" w:hAnsiTheme="majorHAnsi" w:cstheme="majorHAnsi"/>
        </w:rPr>
      </w:pPr>
    </w:p>
    <w:p w14:paraId="65E6AA37" w14:textId="5D1CFE75" w:rsidR="00681130" w:rsidRDefault="00681130" w:rsidP="00681130">
      <w:pPr>
        <w:spacing w:line="240" w:lineRule="auto"/>
        <w:ind w:left="765"/>
        <w:rPr>
          <w:rFonts w:asciiTheme="majorHAnsi" w:eastAsia="Calibri" w:hAnsiTheme="majorHAnsi" w:cstheme="majorHAnsi"/>
        </w:rPr>
      </w:pPr>
    </w:p>
    <w:p w14:paraId="3C5ABFB9" w14:textId="0079E14C" w:rsidR="00681130" w:rsidRDefault="00681130" w:rsidP="00681130">
      <w:pPr>
        <w:spacing w:line="240" w:lineRule="auto"/>
        <w:ind w:left="765"/>
        <w:rPr>
          <w:rFonts w:asciiTheme="majorHAnsi" w:eastAsia="Calibri" w:hAnsiTheme="majorHAnsi" w:cstheme="majorHAnsi"/>
        </w:rPr>
      </w:pPr>
    </w:p>
    <w:p w14:paraId="5EC4BFDA" w14:textId="3D010495" w:rsidR="00681130" w:rsidRDefault="00681130" w:rsidP="00681130">
      <w:pPr>
        <w:spacing w:line="240" w:lineRule="auto"/>
        <w:ind w:left="765"/>
        <w:rPr>
          <w:rFonts w:asciiTheme="majorHAnsi" w:eastAsia="Calibri" w:hAnsiTheme="majorHAnsi" w:cstheme="majorHAnsi"/>
        </w:rPr>
      </w:pPr>
    </w:p>
    <w:p w14:paraId="6B19AD21" w14:textId="5313C57F" w:rsidR="00681130" w:rsidRDefault="00681130" w:rsidP="00681130">
      <w:pPr>
        <w:spacing w:line="240" w:lineRule="auto"/>
        <w:ind w:left="765"/>
        <w:rPr>
          <w:rFonts w:asciiTheme="majorHAnsi" w:eastAsia="Calibri" w:hAnsiTheme="majorHAnsi" w:cstheme="majorHAnsi"/>
        </w:rPr>
      </w:pPr>
    </w:p>
    <w:p w14:paraId="388C7261" w14:textId="7F0CB386" w:rsidR="00681130" w:rsidRDefault="00681130" w:rsidP="00681130">
      <w:pPr>
        <w:spacing w:line="240" w:lineRule="auto"/>
        <w:ind w:left="765"/>
        <w:rPr>
          <w:rFonts w:asciiTheme="majorHAnsi" w:eastAsia="Calibri" w:hAnsiTheme="majorHAnsi" w:cstheme="majorHAnsi"/>
        </w:rPr>
      </w:pPr>
    </w:p>
    <w:p w14:paraId="2550160A" w14:textId="0C6A48F0" w:rsidR="00681130" w:rsidRDefault="00681130" w:rsidP="00681130">
      <w:pPr>
        <w:spacing w:line="240" w:lineRule="auto"/>
        <w:ind w:left="765"/>
        <w:rPr>
          <w:rFonts w:asciiTheme="majorHAnsi" w:eastAsia="Calibri" w:hAnsiTheme="majorHAnsi" w:cstheme="majorHAnsi"/>
        </w:rPr>
      </w:pPr>
    </w:p>
    <w:p w14:paraId="647CE7B7" w14:textId="26D25117" w:rsidR="00681130" w:rsidRDefault="00681130" w:rsidP="00681130">
      <w:pPr>
        <w:spacing w:line="240" w:lineRule="auto"/>
        <w:ind w:left="765"/>
        <w:rPr>
          <w:rFonts w:asciiTheme="majorHAnsi" w:eastAsia="Calibri" w:hAnsiTheme="majorHAnsi" w:cstheme="majorHAnsi"/>
        </w:rPr>
      </w:pPr>
    </w:p>
    <w:p w14:paraId="6D7DB1A0" w14:textId="0A1431E7" w:rsidR="00681130" w:rsidRDefault="00681130" w:rsidP="00681130">
      <w:pPr>
        <w:spacing w:line="240" w:lineRule="auto"/>
        <w:ind w:left="765"/>
        <w:rPr>
          <w:rFonts w:asciiTheme="majorHAnsi" w:eastAsia="Calibri" w:hAnsiTheme="majorHAnsi" w:cstheme="majorHAnsi"/>
        </w:rPr>
      </w:pPr>
    </w:p>
    <w:p w14:paraId="43CB1840" w14:textId="616E24F7" w:rsidR="00681130" w:rsidRDefault="00681130" w:rsidP="00681130">
      <w:pPr>
        <w:spacing w:line="240" w:lineRule="auto"/>
        <w:ind w:left="765"/>
        <w:rPr>
          <w:rFonts w:asciiTheme="majorHAnsi" w:eastAsia="Calibri" w:hAnsiTheme="majorHAnsi" w:cstheme="majorHAnsi"/>
        </w:rPr>
      </w:pPr>
    </w:p>
    <w:p w14:paraId="598D1024" w14:textId="13B10AF3" w:rsidR="00681130" w:rsidRDefault="00681130" w:rsidP="00681130">
      <w:pPr>
        <w:spacing w:line="240" w:lineRule="auto"/>
        <w:ind w:left="765"/>
        <w:rPr>
          <w:rFonts w:asciiTheme="majorHAnsi" w:eastAsia="Calibri" w:hAnsiTheme="majorHAnsi" w:cstheme="majorHAnsi"/>
        </w:rPr>
      </w:pPr>
    </w:p>
    <w:p w14:paraId="09FDC5E7" w14:textId="679DD62E" w:rsidR="00681130" w:rsidRDefault="00681130" w:rsidP="00681130">
      <w:pPr>
        <w:spacing w:line="240" w:lineRule="auto"/>
        <w:ind w:left="765"/>
        <w:rPr>
          <w:rFonts w:asciiTheme="majorHAnsi" w:eastAsia="Calibri" w:hAnsiTheme="majorHAnsi" w:cstheme="majorHAnsi"/>
        </w:rPr>
      </w:pPr>
    </w:p>
    <w:p w14:paraId="2D2E8372" w14:textId="6C7572FE" w:rsidR="00681130" w:rsidRDefault="00681130" w:rsidP="00681130">
      <w:pPr>
        <w:spacing w:line="240" w:lineRule="auto"/>
        <w:ind w:left="765"/>
        <w:rPr>
          <w:rFonts w:asciiTheme="majorHAnsi" w:eastAsia="Calibri" w:hAnsiTheme="majorHAnsi" w:cstheme="majorHAnsi"/>
        </w:rPr>
      </w:pPr>
    </w:p>
    <w:p w14:paraId="70C97E85" w14:textId="7D07A515" w:rsidR="00681130" w:rsidRDefault="00681130" w:rsidP="00681130">
      <w:pPr>
        <w:spacing w:line="240" w:lineRule="auto"/>
        <w:ind w:left="765"/>
        <w:rPr>
          <w:rFonts w:asciiTheme="majorHAnsi" w:eastAsia="Calibri" w:hAnsiTheme="majorHAnsi" w:cstheme="majorHAnsi"/>
        </w:rPr>
      </w:pPr>
    </w:p>
    <w:p w14:paraId="2954FEB5" w14:textId="3CBC24C5" w:rsidR="00681130" w:rsidRDefault="00681130" w:rsidP="00681130">
      <w:pPr>
        <w:spacing w:line="240" w:lineRule="auto"/>
        <w:ind w:left="765"/>
        <w:rPr>
          <w:rFonts w:asciiTheme="majorHAnsi" w:eastAsia="Calibri" w:hAnsiTheme="majorHAnsi" w:cstheme="majorHAnsi"/>
        </w:rPr>
      </w:pPr>
    </w:p>
    <w:p w14:paraId="18DB6A31" w14:textId="34859E5C" w:rsidR="00681130" w:rsidRDefault="00681130" w:rsidP="00681130">
      <w:pPr>
        <w:spacing w:line="240" w:lineRule="auto"/>
        <w:ind w:left="765"/>
        <w:rPr>
          <w:rFonts w:asciiTheme="majorHAnsi" w:eastAsia="Calibri" w:hAnsiTheme="majorHAnsi" w:cstheme="majorHAnsi"/>
        </w:rPr>
      </w:pPr>
    </w:p>
    <w:p w14:paraId="051910FC" w14:textId="2DAD33B1" w:rsidR="00681130" w:rsidRDefault="00681130" w:rsidP="00681130">
      <w:pPr>
        <w:spacing w:line="240" w:lineRule="auto"/>
        <w:ind w:left="765"/>
        <w:rPr>
          <w:rFonts w:asciiTheme="majorHAnsi" w:eastAsia="Calibri" w:hAnsiTheme="majorHAnsi" w:cstheme="majorHAnsi"/>
        </w:rPr>
      </w:pPr>
    </w:p>
    <w:p w14:paraId="68A4E437" w14:textId="18D406CC" w:rsidR="00681130" w:rsidRDefault="00681130" w:rsidP="00681130">
      <w:pPr>
        <w:spacing w:line="240" w:lineRule="auto"/>
        <w:ind w:left="765"/>
        <w:rPr>
          <w:rFonts w:asciiTheme="majorHAnsi" w:eastAsia="Calibri" w:hAnsiTheme="majorHAnsi" w:cstheme="majorHAnsi"/>
        </w:rPr>
      </w:pPr>
    </w:p>
    <w:p w14:paraId="19157A68" w14:textId="6805A765" w:rsidR="00681130" w:rsidRDefault="00681130" w:rsidP="00681130">
      <w:pPr>
        <w:spacing w:line="240" w:lineRule="auto"/>
        <w:ind w:left="765"/>
        <w:rPr>
          <w:rFonts w:asciiTheme="majorHAnsi" w:eastAsia="Calibri" w:hAnsiTheme="majorHAnsi" w:cstheme="majorHAnsi"/>
        </w:rPr>
      </w:pPr>
    </w:p>
    <w:p w14:paraId="3BF3AFB3" w14:textId="0EA82FFC" w:rsidR="00681130" w:rsidRDefault="00681130" w:rsidP="00681130">
      <w:pPr>
        <w:spacing w:line="240" w:lineRule="auto"/>
        <w:ind w:left="765"/>
        <w:rPr>
          <w:rFonts w:asciiTheme="majorHAnsi" w:eastAsia="Calibri" w:hAnsiTheme="majorHAnsi" w:cstheme="majorHAnsi"/>
        </w:rPr>
      </w:pPr>
    </w:p>
    <w:p w14:paraId="654594BC" w14:textId="3967E75C" w:rsidR="00681130" w:rsidRDefault="00681130" w:rsidP="00681130">
      <w:pPr>
        <w:spacing w:line="240" w:lineRule="auto"/>
        <w:ind w:left="765"/>
        <w:rPr>
          <w:rFonts w:asciiTheme="majorHAnsi" w:eastAsia="Calibri" w:hAnsiTheme="majorHAnsi" w:cstheme="majorHAnsi"/>
        </w:rPr>
      </w:pPr>
    </w:p>
    <w:p w14:paraId="62237FF3" w14:textId="06F06AB7" w:rsidR="00681130" w:rsidRDefault="00681130" w:rsidP="00681130">
      <w:pPr>
        <w:spacing w:line="240" w:lineRule="auto"/>
        <w:ind w:left="765"/>
        <w:rPr>
          <w:rFonts w:asciiTheme="majorHAnsi" w:eastAsia="Calibri" w:hAnsiTheme="majorHAnsi" w:cstheme="majorHAnsi"/>
        </w:rPr>
      </w:pPr>
    </w:p>
    <w:p w14:paraId="1D35FF4A" w14:textId="713E89A9" w:rsidR="00681130" w:rsidRPr="005F3EFC" w:rsidRDefault="00681130" w:rsidP="00B56C7C">
      <w:pPr>
        <w:spacing w:line="240" w:lineRule="auto"/>
        <w:rPr>
          <w:rFonts w:asciiTheme="majorHAnsi" w:eastAsia="Calibri" w:hAnsiTheme="majorHAnsi" w:cstheme="majorHAnsi"/>
        </w:rPr>
      </w:pPr>
    </w:p>
    <w:tbl>
      <w:tblPr>
        <w:tblStyle w:val="a2"/>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858"/>
        <w:gridCol w:w="801"/>
        <w:gridCol w:w="1204"/>
        <w:gridCol w:w="1206"/>
        <w:gridCol w:w="2039"/>
        <w:gridCol w:w="3232"/>
      </w:tblGrid>
      <w:tr w:rsidR="002A324C" w:rsidRPr="00681130" w14:paraId="61CFB2DF" w14:textId="77777777" w:rsidTr="00681130">
        <w:trPr>
          <w:trHeight w:val="1132"/>
        </w:trPr>
        <w:tc>
          <w:tcPr>
            <w:tcW w:w="462" w:type="pct"/>
            <w:tcBorders>
              <w:top w:val="single" w:sz="8" w:space="0" w:color="000000"/>
              <w:left w:val="single" w:sz="8" w:space="0" w:color="000000"/>
              <w:bottom w:val="single" w:sz="12" w:space="0" w:color="000000"/>
              <w:right w:val="single" w:sz="8" w:space="0" w:color="000000"/>
            </w:tcBorders>
            <w:vAlign w:val="center"/>
          </w:tcPr>
          <w:p w14:paraId="25E20F68" w14:textId="77777777" w:rsidR="002A324C" w:rsidRPr="00681130" w:rsidRDefault="00681130">
            <w:pPr>
              <w:spacing w:after="120"/>
              <w:jc w:val="center"/>
              <w:rPr>
                <w:rFonts w:asciiTheme="majorHAnsi" w:eastAsia="Calibri" w:hAnsiTheme="majorHAnsi" w:cstheme="majorHAnsi"/>
                <w:b/>
                <w:sz w:val="18"/>
                <w:szCs w:val="18"/>
              </w:rPr>
            </w:pPr>
            <w:r w:rsidRPr="00681130">
              <w:rPr>
                <w:rFonts w:asciiTheme="majorHAnsi" w:eastAsia="Calibri" w:hAnsiTheme="majorHAnsi" w:cstheme="majorHAnsi"/>
                <w:b/>
                <w:sz w:val="18"/>
                <w:szCs w:val="18"/>
              </w:rPr>
              <w:lastRenderedPageBreak/>
              <w:t>Actual Body Weight</w:t>
            </w:r>
          </w:p>
        </w:tc>
        <w:tc>
          <w:tcPr>
            <w:tcW w:w="426" w:type="pct"/>
            <w:tcBorders>
              <w:top w:val="single" w:sz="8" w:space="0" w:color="000000"/>
              <w:left w:val="single" w:sz="8" w:space="0" w:color="000000"/>
              <w:bottom w:val="single" w:sz="12" w:space="0" w:color="000000"/>
              <w:right w:val="single" w:sz="8" w:space="0" w:color="000000"/>
            </w:tcBorders>
            <w:vAlign w:val="center"/>
          </w:tcPr>
          <w:p w14:paraId="6C75D043" w14:textId="77777777" w:rsidR="002A324C" w:rsidRPr="00681130" w:rsidRDefault="00681130">
            <w:pPr>
              <w:spacing w:after="120"/>
              <w:jc w:val="center"/>
              <w:rPr>
                <w:rFonts w:asciiTheme="majorHAnsi" w:eastAsia="Calibri" w:hAnsiTheme="majorHAnsi" w:cstheme="majorHAnsi"/>
                <w:b/>
                <w:sz w:val="18"/>
                <w:szCs w:val="18"/>
              </w:rPr>
            </w:pPr>
            <w:r w:rsidRPr="00681130">
              <w:rPr>
                <w:rFonts w:asciiTheme="majorHAnsi" w:eastAsia="Calibri" w:hAnsiTheme="majorHAnsi" w:cstheme="majorHAnsi"/>
                <w:b/>
                <w:sz w:val="18"/>
                <w:szCs w:val="18"/>
              </w:rPr>
              <w:t>Loading Dose</w:t>
            </w:r>
          </w:p>
          <w:p w14:paraId="7EC37F1D" w14:textId="77777777" w:rsidR="002A324C" w:rsidRPr="00681130" w:rsidRDefault="00681130">
            <w:pPr>
              <w:spacing w:after="120"/>
              <w:jc w:val="center"/>
              <w:rPr>
                <w:rFonts w:asciiTheme="majorHAnsi" w:eastAsia="Calibri" w:hAnsiTheme="majorHAnsi" w:cstheme="majorHAnsi"/>
                <w:b/>
                <w:sz w:val="18"/>
                <w:szCs w:val="18"/>
              </w:rPr>
            </w:pPr>
            <w:r w:rsidRPr="00681130">
              <w:rPr>
                <w:rFonts w:asciiTheme="majorHAnsi" w:eastAsia="Calibri" w:hAnsiTheme="majorHAnsi" w:cstheme="majorHAnsi"/>
                <w:b/>
                <w:sz w:val="18"/>
                <w:szCs w:val="18"/>
              </w:rPr>
              <w:t>(LD)^</w:t>
            </w:r>
          </w:p>
        </w:tc>
        <w:tc>
          <w:tcPr>
            <w:tcW w:w="844" w:type="pct"/>
            <w:tcBorders>
              <w:top w:val="single" w:sz="8" w:space="0" w:color="000000"/>
              <w:left w:val="single" w:sz="8" w:space="0" w:color="000000"/>
              <w:bottom w:val="single" w:sz="12" w:space="0" w:color="000000"/>
              <w:right w:val="single" w:sz="8" w:space="0" w:color="000000"/>
            </w:tcBorders>
            <w:vAlign w:val="center"/>
          </w:tcPr>
          <w:p w14:paraId="2CF08794" w14:textId="77777777" w:rsidR="002A324C" w:rsidRPr="00681130" w:rsidRDefault="00681130">
            <w:pPr>
              <w:jc w:val="center"/>
              <w:rPr>
                <w:rFonts w:asciiTheme="majorHAnsi" w:eastAsia="Calibri" w:hAnsiTheme="majorHAnsi" w:cstheme="majorHAnsi"/>
                <w:b/>
                <w:sz w:val="18"/>
                <w:szCs w:val="18"/>
              </w:rPr>
            </w:pPr>
            <w:r w:rsidRPr="00681130">
              <w:rPr>
                <w:rFonts w:asciiTheme="majorHAnsi" w:eastAsia="Calibri" w:hAnsiTheme="majorHAnsi" w:cstheme="majorHAnsi"/>
                <w:b/>
                <w:sz w:val="18"/>
                <w:szCs w:val="18"/>
              </w:rPr>
              <w:t>Maintenance Dose</w:t>
            </w:r>
          </w:p>
          <w:p w14:paraId="228DFEFA" w14:textId="77777777" w:rsidR="002A324C" w:rsidRPr="00681130" w:rsidRDefault="00681130">
            <w:pPr>
              <w:jc w:val="center"/>
              <w:rPr>
                <w:rFonts w:asciiTheme="majorHAnsi" w:eastAsia="Calibri" w:hAnsiTheme="majorHAnsi" w:cstheme="majorHAnsi"/>
                <w:b/>
                <w:sz w:val="18"/>
                <w:szCs w:val="18"/>
              </w:rPr>
            </w:pPr>
            <w:r w:rsidRPr="00681130">
              <w:rPr>
                <w:rFonts w:asciiTheme="majorHAnsi" w:eastAsia="Calibri" w:hAnsiTheme="majorHAnsi" w:cstheme="majorHAnsi"/>
                <w:b/>
                <w:sz w:val="18"/>
                <w:szCs w:val="18"/>
              </w:rPr>
              <w:t>(MD)</w:t>
            </w:r>
          </w:p>
          <w:p w14:paraId="3C7B77DD" w14:textId="77777777" w:rsidR="002A324C" w:rsidRPr="00681130" w:rsidRDefault="002A324C">
            <w:pPr>
              <w:jc w:val="center"/>
              <w:rPr>
                <w:rFonts w:asciiTheme="majorHAnsi" w:eastAsia="Calibri" w:hAnsiTheme="majorHAnsi" w:cstheme="majorHAnsi"/>
                <w:b/>
                <w:sz w:val="18"/>
                <w:szCs w:val="18"/>
              </w:rPr>
            </w:pPr>
          </w:p>
          <w:p w14:paraId="67B23838" w14:textId="77777777" w:rsidR="002A324C" w:rsidRPr="00681130" w:rsidRDefault="00681130">
            <w:pPr>
              <w:jc w:val="center"/>
              <w:rPr>
                <w:rFonts w:asciiTheme="majorHAnsi" w:eastAsia="Calibri" w:hAnsiTheme="majorHAnsi" w:cstheme="majorHAnsi"/>
                <w:b/>
                <w:sz w:val="18"/>
                <w:szCs w:val="18"/>
              </w:rPr>
            </w:pPr>
            <w:r w:rsidRPr="00681130">
              <w:rPr>
                <w:rFonts w:asciiTheme="majorHAnsi" w:eastAsia="Calibri" w:hAnsiTheme="majorHAnsi" w:cstheme="majorHAnsi"/>
                <w:b/>
                <w:sz w:val="18"/>
                <w:szCs w:val="18"/>
              </w:rPr>
              <w:t>48hr interval</w:t>
            </w:r>
          </w:p>
          <w:p w14:paraId="3B239B81" w14:textId="77777777" w:rsidR="002A324C" w:rsidRPr="00681130" w:rsidRDefault="00681130">
            <w:pPr>
              <w:jc w:val="center"/>
              <w:rPr>
                <w:rFonts w:asciiTheme="majorHAnsi" w:eastAsia="Calibri" w:hAnsiTheme="majorHAnsi" w:cstheme="majorHAnsi"/>
                <w:b/>
                <w:sz w:val="18"/>
                <w:szCs w:val="18"/>
              </w:rPr>
            </w:pPr>
            <w:r w:rsidRPr="00681130">
              <w:rPr>
                <w:rFonts w:asciiTheme="majorHAnsi" w:eastAsia="Calibri" w:hAnsiTheme="majorHAnsi" w:cstheme="majorHAnsi"/>
                <w:b/>
                <w:sz w:val="18"/>
                <w:szCs w:val="18"/>
              </w:rPr>
              <w:t>(e.g., Mon/Wed OR Tues/Thurs)</w:t>
            </w:r>
          </w:p>
        </w:tc>
        <w:tc>
          <w:tcPr>
            <w:tcW w:w="824" w:type="pct"/>
            <w:tcBorders>
              <w:top w:val="single" w:sz="8" w:space="0" w:color="000000"/>
              <w:left w:val="single" w:sz="8" w:space="0" w:color="000000"/>
              <w:bottom w:val="single" w:sz="12" w:space="0" w:color="000000"/>
              <w:right w:val="single" w:sz="8" w:space="0" w:color="000000"/>
            </w:tcBorders>
            <w:vAlign w:val="center"/>
          </w:tcPr>
          <w:p w14:paraId="60117190" w14:textId="77777777" w:rsidR="002A324C" w:rsidRPr="00681130" w:rsidRDefault="00681130">
            <w:pPr>
              <w:jc w:val="center"/>
              <w:rPr>
                <w:rFonts w:asciiTheme="majorHAnsi" w:eastAsia="Calibri" w:hAnsiTheme="majorHAnsi" w:cstheme="majorHAnsi"/>
                <w:b/>
                <w:sz w:val="18"/>
                <w:szCs w:val="18"/>
              </w:rPr>
            </w:pPr>
            <w:r w:rsidRPr="00681130">
              <w:rPr>
                <w:rFonts w:asciiTheme="majorHAnsi" w:eastAsia="Calibri" w:hAnsiTheme="majorHAnsi" w:cstheme="majorHAnsi"/>
                <w:b/>
                <w:sz w:val="18"/>
                <w:szCs w:val="18"/>
              </w:rPr>
              <w:t>Maintenance Dose</w:t>
            </w:r>
          </w:p>
          <w:p w14:paraId="183E8904" w14:textId="77777777" w:rsidR="002A324C" w:rsidRPr="00681130" w:rsidRDefault="00681130">
            <w:pPr>
              <w:jc w:val="center"/>
              <w:rPr>
                <w:rFonts w:asciiTheme="majorHAnsi" w:eastAsia="Calibri" w:hAnsiTheme="majorHAnsi" w:cstheme="majorHAnsi"/>
                <w:b/>
                <w:sz w:val="18"/>
                <w:szCs w:val="18"/>
              </w:rPr>
            </w:pPr>
            <w:r w:rsidRPr="00681130">
              <w:rPr>
                <w:rFonts w:asciiTheme="majorHAnsi" w:eastAsia="Calibri" w:hAnsiTheme="majorHAnsi" w:cstheme="majorHAnsi"/>
                <w:b/>
                <w:sz w:val="18"/>
                <w:szCs w:val="18"/>
              </w:rPr>
              <w:t>(MD)</w:t>
            </w:r>
          </w:p>
          <w:p w14:paraId="321B20EA" w14:textId="77777777" w:rsidR="002A324C" w:rsidRPr="00681130" w:rsidRDefault="002A324C">
            <w:pPr>
              <w:jc w:val="center"/>
              <w:rPr>
                <w:rFonts w:asciiTheme="majorHAnsi" w:eastAsia="Calibri" w:hAnsiTheme="majorHAnsi" w:cstheme="majorHAnsi"/>
                <w:b/>
                <w:sz w:val="18"/>
                <w:szCs w:val="18"/>
              </w:rPr>
            </w:pPr>
          </w:p>
          <w:p w14:paraId="55CA8F44" w14:textId="77777777" w:rsidR="002A324C" w:rsidRPr="00681130" w:rsidRDefault="00681130">
            <w:pPr>
              <w:jc w:val="center"/>
              <w:rPr>
                <w:rFonts w:asciiTheme="majorHAnsi" w:eastAsia="Calibri" w:hAnsiTheme="majorHAnsi" w:cstheme="majorHAnsi"/>
                <w:b/>
                <w:sz w:val="18"/>
                <w:szCs w:val="18"/>
              </w:rPr>
            </w:pPr>
            <w:r w:rsidRPr="00681130">
              <w:rPr>
                <w:rFonts w:asciiTheme="majorHAnsi" w:eastAsia="Calibri" w:hAnsiTheme="majorHAnsi" w:cstheme="majorHAnsi"/>
                <w:b/>
                <w:sz w:val="18"/>
                <w:szCs w:val="18"/>
              </w:rPr>
              <w:t>72 hr interval</w:t>
            </w:r>
          </w:p>
          <w:p w14:paraId="56E710DF" w14:textId="77777777" w:rsidR="002A324C" w:rsidRPr="00681130" w:rsidRDefault="00681130">
            <w:pPr>
              <w:jc w:val="center"/>
              <w:rPr>
                <w:rFonts w:asciiTheme="majorHAnsi" w:eastAsia="Calibri" w:hAnsiTheme="majorHAnsi" w:cstheme="majorHAnsi"/>
                <w:b/>
                <w:sz w:val="18"/>
                <w:szCs w:val="18"/>
              </w:rPr>
            </w:pPr>
            <w:r w:rsidRPr="00681130">
              <w:rPr>
                <w:rFonts w:asciiTheme="majorHAnsi" w:eastAsia="Calibri" w:hAnsiTheme="majorHAnsi" w:cstheme="majorHAnsi"/>
                <w:b/>
                <w:sz w:val="18"/>
                <w:szCs w:val="18"/>
              </w:rPr>
              <w:t>(e.g., Fri OR Sat)</w:t>
            </w:r>
          </w:p>
        </w:tc>
        <w:tc>
          <w:tcPr>
            <w:tcW w:w="946" w:type="pct"/>
            <w:tcBorders>
              <w:top w:val="single" w:sz="8" w:space="0" w:color="000000"/>
              <w:left w:val="single" w:sz="8" w:space="0" w:color="000000"/>
              <w:bottom w:val="single" w:sz="12" w:space="0" w:color="000000"/>
              <w:right w:val="single" w:sz="8" w:space="0" w:color="000000"/>
            </w:tcBorders>
            <w:vAlign w:val="center"/>
          </w:tcPr>
          <w:p w14:paraId="797F2DCC" w14:textId="77777777" w:rsidR="002A324C" w:rsidRPr="00681130" w:rsidRDefault="00681130">
            <w:pPr>
              <w:jc w:val="center"/>
              <w:rPr>
                <w:rFonts w:asciiTheme="majorHAnsi" w:eastAsia="Calibri" w:hAnsiTheme="majorHAnsi" w:cstheme="majorHAnsi"/>
                <w:b/>
                <w:sz w:val="18"/>
                <w:szCs w:val="18"/>
              </w:rPr>
            </w:pPr>
            <w:r w:rsidRPr="00681130">
              <w:rPr>
                <w:rFonts w:asciiTheme="majorHAnsi" w:eastAsia="Calibri" w:hAnsiTheme="majorHAnsi" w:cstheme="majorHAnsi"/>
                <w:b/>
                <w:sz w:val="18"/>
                <w:szCs w:val="18"/>
              </w:rPr>
              <w:t>Vancomycin Plasma Concentration</w:t>
            </w:r>
          </w:p>
          <w:p w14:paraId="1F0CF5CE" w14:textId="77777777" w:rsidR="002A324C" w:rsidRPr="00681130" w:rsidRDefault="00681130">
            <w:pPr>
              <w:jc w:val="center"/>
              <w:rPr>
                <w:rFonts w:asciiTheme="majorHAnsi" w:eastAsia="Calibri" w:hAnsiTheme="majorHAnsi" w:cstheme="majorHAnsi"/>
                <w:b/>
                <w:sz w:val="18"/>
                <w:szCs w:val="18"/>
              </w:rPr>
            </w:pPr>
            <w:r w:rsidRPr="00681130">
              <w:rPr>
                <w:rFonts w:asciiTheme="majorHAnsi" w:eastAsia="Calibri" w:hAnsiTheme="majorHAnsi" w:cstheme="majorHAnsi"/>
                <w:b/>
                <w:sz w:val="18"/>
                <w:szCs w:val="18"/>
              </w:rPr>
              <w:t>(Pre-dialysis AM random level on each 3rd HD session)</w:t>
            </w:r>
          </w:p>
        </w:tc>
        <w:tc>
          <w:tcPr>
            <w:tcW w:w="1499" w:type="pct"/>
            <w:tcBorders>
              <w:top w:val="single" w:sz="8" w:space="0" w:color="000000"/>
              <w:left w:val="single" w:sz="8" w:space="0" w:color="000000"/>
              <w:bottom w:val="single" w:sz="12" w:space="0" w:color="000000"/>
              <w:right w:val="single" w:sz="8" w:space="0" w:color="000000"/>
            </w:tcBorders>
            <w:vAlign w:val="center"/>
          </w:tcPr>
          <w:p w14:paraId="4F3E9BB4" w14:textId="77777777" w:rsidR="002A324C" w:rsidRPr="00681130" w:rsidRDefault="00681130">
            <w:pPr>
              <w:jc w:val="center"/>
              <w:rPr>
                <w:rFonts w:asciiTheme="majorHAnsi" w:eastAsia="Calibri" w:hAnsiTheme="majorHAnsi" w:cstheme="majorHAnsi"/>
                <w:b/>
                <w:sz w:val="18"/>
                <w:szCs w:val="18"/>
              </w:rPr>
            </w:pPr>
            <w:r w:rsidRPr="00681130">
              <w:rPr>
                <w:rFonts w:asciiTheme="majorHAnsi" w:eastAsia="Calibri" w:hAnsiTheme="majorHAnsi" w:cstheme="majorHAnsi"/>
                <w:b/>
                <w:sz w:val="18"/>
                <w:szCs w:val="18"/>
              </w:rPr>
              <w:t>Dosage Adjustments</w:t>
            </w:r>
          </w:p>
          <w:p w14:paraId="2FE82740" w14:textId="77777777" w:rsidR="002A324C" w:rsidRPr="00681130" w:rsidRDefault="002A324C">
            <w:pPr>
              <w:jc w:val="center"/>
              <w:rPr>
                <w:rFonts w:asciiTheme="majorHAnsi" w:eastAsia="Calibri" w:hAnsiTheme="majorHAnsi" w:cstheme="majorHAnsi"/>
                <w:b/>
                <w:sz w:val="18"/>
                <w:szCs w:val="18"/>
              </w:rPr>
            </w:pPr>
          </w:p>
          <w:p w14:paraId="78369A70" w14:textId="77777777" w:rsidR="002A324C" w:rsidRPr="00681130" w:rsidRDefault="00681130">
            <w:pPr>
              <w:jc w:val="center"/>
              <w:rPr>
                <w:rFonts w:asciiTheme="majorHAnsi" w:eastAsia="Calibri" w:hAnsiTheme="majorHAnsi" w:cstheme="majorHAnsi"/>
                <w:b/>
                <w:sz w:val="18"/>
                <w:szCs w:val="18"/>
              </w:rPr>
            </w:pPr>
            <w:r w:rsidRPr="00681130">
              <w:rPr>
                <w:rFonts w:asciiTheme="majorHAnsi" w:eastAsia="Calibri" w:hAnsiTheme="majorHAnsi" w:cstheme="majorHAnsi"/>
                <w:b/>
                <w:sz w:val="18"/>
                <w:szCs w:val="18"/>
              </w:rPr>
              <w:t>*250 mg increase in dose if given over 72 hr interval</w:t>
            </w:r>
          </w:p>
        </w:tc>
      </w:tr>
      <w:tr w:rsidR="002A324C" w:rsidRPr="00681130" w14:paraId="24C90146" w14:textId="77777777" w:rsidTr="00681130">
        <w:trPr>
          <w:trHeight w:val="1572"/>
        </w:trPr>
        <w:tc>
          <w:tcPr>
            <w:tcW w:w="462" w:type="pct"/>
            <w:tcBorders>
              <w:top w:val="single" w:sz="12" w:space="0" w:color="000000"/>
              <w:bottom w:val="single" w:sz="12" w:space="0" w:color="000000"/>
            </w:tcBorders>
            <w:vAlign w:val="center"/>
          </w:tcPr>
          <w:p w14:paraId="780DFC56"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&lt; 70kg</w:t>
            </w:r>
          </w:p>
        </w:tc>
        <w:tc>
          <w:tcPr>
            <w:tcW w:w="426" w:type="pct"/>
            <w:tcBorders>
              <w:top w:val="single" w:sz="12" w:space="0" w:color="000000"/>
              <w:bottom w:val="single" w:sz="12" w:space="0" w:color="000000"/>
            </w:tcBorders>
            <w:vAlign w:val="center"/>
          </w:tcPr>
          <w:p w14:paraId="4B965B97"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 xml:space="preserve">1750 mg </w:t>
            </w:r>
          </w:p>
        </w:tc>
        <w:tc>
          <w:tcPr>
            <w:tcW w:w="844" w:type="pct"/>
            <w:tcBorders>
              <w:top w:val="single" w:sz="12" w:space="0" w:color="000000"/>
              <w:bottom w:val="single" w:sz="12" w:space="0" w:color="000000"/>
            </w:tcBorders>
            <w:vAlign w:val="center"/>
          </w:tcPr>
          <w:p w14:paraId="62447C81" w14:textId="77777777" w:rsidR="002A324C" w:rsidRPr="00681130" w:rsidRDefault="00681130">
            <w:pPr>
              <w:spacing w:after="120"/>
              <w:jc w:val="center"/>
              <w:rPr>
                <w:rFonts w:asciiTheme="majorHAnsi" w:eastAsia="Calibri" w:hAnsiTheme="majorHAnsi" w:cstheme="majorHAnsi"/>
                <w:sz w:val="20"/>
                <w:szCs w:val="20"/>
              </w:rPr>
            </w:pPr>
            <w:r w:rsidRPr="00681130">
              <w:rPr>
                <w:rFonts w:asciiTheme="majorHAnsi" w:eastAsia="Calibri" w:hAnsiTheme="majorHAnsi" w:cstheme="majorHAnsi"/>
                <w:sz w:val="20"/>
                <w:szCs w:val="20"/>
              </w:rPr>
              <w:t>500 mg after HD</w:t>
            </w:r>
          </w:p>
        </w:tc>
        <w:tc>
          <w:tcPr>
            <w:tcW w:w="824" w:type="pct"/>
            <w:tcBorders>
              <w:top w:val="single" w:sz="12" w:space="0" w:color="000000"/>
              <w:bottom w:val="single" w:sz="12" w:space="0" w:color="000000"/>
            </w:tcBorders>
            <w:vAlign w:val="center"/>
          </w:tcPr>
          <w:p w14:paraId="78695A18" w14:textId="77777777" w:rsidR="002A324C" w:rsidRPr="00681130" w:rsidRDefault="00681130">
            <w:pPr>
              <w:jc w:val="center"/>
              <w:rPr>
                <w:rFonts w:asciiTheme="majorHAnsi" w:eastAsia="Calibri" w:hAnsiTheme="majorHAnsi" w:cstheme="majorHAnsi"/>
                <w:sz w:val="20"/>
                <w:szCs w:val="20"/>
              </w:rPr>
            </w:pPr>
            <w:r w:rsidRPr="00681130">
              <w:rPr>
                <w:rFonts w:asciiTheme="majorHAnsi" w:eastAsia="Calibri" w:hAnsiTheme="majorHAnsi" w:cstheme="majorHAnsi"/>
                <w:sz w:val="20"/>
                <w:szCs w:val="20"/>
              </w:rPr>
              <w:t xml:space="preserve">750 mg </w:t>
            </w:r>
          </w:p>
          <w:p w14:paraId="7CB246DF" w14:textId="77777777" w:rsidR="002A324C" w:rsidRPr="00681130" w:rsidRDefault="00681130">
            <w:pPr>
              <w:jc w:val="center"/>
              <w:rPr>
                <w:rFonts w:asciiTheme="majorHAnsi" w:eastAsia="Calibri" w:hAnsiTheme="majorHAnsi" w:cstheme="majorHAnsi"/>
                <w:sz w:val="20"/>
                <w:szCs w:val="20"/>
              </w:rPr>
            </w:pPr>
            <w:r w:rsidRPr="00681130">
              <w:rPr>
                <w:rFonts w:asciiTheme="majorHAnsi" w:eastAsia="Calibri" w:hAnsiTheme="majorHAnsi" w:cstheme="majorHAnsi"/>
                <w:sz w:val="20"/>
                <w:szCs w:val="20"/>
              </w:rPr>
              <w:t>after HD</w:t>
            </w:r>
          </w:p>
        </w:tc>
        <w:tc>
          <w:tcPr>
            <w:tcW w:w="946" w:type="pct"/>
            <w:tcBorders>
              <w:top w:val="single" w:sz="12" w:space="0" w:color="000000"/>
              <w:bottom w:val="single" w:sz="12" w:space="0" w:color="000000"/>
            </w:tcBorders>
            <w:vAlign w:val="center"/>
          </w:tcPr>
          <w:p w14:paraId="5E55D877" w14:textId="77777777" w:rsidR="002A324C" w:rsidRPr="00681130" w:rsidRDefault="002A324C">
            <w:pPr>
              <w:widowControl w:val="0"/>
              <w:rPr>
                <w:rFonts w:asciiTheme="majorHAnsi" w:eastAsia="Calibri" w:hAnsiTheme="majorHAnsi" w:cstheme="majorHAnsi"/>
                <w:sz w:val="20"/>
                <w:szCs w:val="20"/>
              </w:rPr>
            </w:pPr>
          </w:p>
          <w:tbl>
            <w:tblPr>
              <w:tblStyle w:val="a3"/>
              <w:tblW w:w="1823" w:type="dxa"/>
              <w:tblBorders>
                <w:top w:val="nil"/>
                <w:left w:val="nil"/>
                <w:bottom w:val="nil"/>
                <w:right w:val="nil"/>
                <w:insideH w:val="single" w:sz="4" w:space="0" w:color="808080"/>
                <w:insideV w:val="single" w:sz="4" w:space="0" w:color="808080"/>
              </w:tblBorders>
              <w:tblLook w:val="0400" w:firstRow="0" w:lastRow="0" w:firstColumn="0" w:lastColumn="0" w:noHBand="0" w:noVBand="1"/>
            </w:tblPr>
            <w:tblGrid>
              <w:gridCol w:w="1823"/>
            </w:tblGrid>
            <w:tr w:rsidR="002A324C" w:rsidRPr="00681130" w14:paraId="1CE57106" w14:textId="77777777" w:rsidTr="00681130">
              <w:tc>
                <w:tcPr>
                  <w:tcW w:w="1823" w:type="dxa"/>
                </w:tcPr>
                <w:p w14:paraId="1E5E2606"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Cp &lt; 10 mcg/mL</w:t>
                  </w:r>
                </w:p>
              </w:tc>
            </w:tr>
            <w:tr w:rsidR="002A324C" w:rsidRPr="00681130" w14:paraId="5A33AC1D" w14:textId="77777777" w:rsidTr="00681130">
              <w:tc>
                <w:tcPr>
                  <w:tcW w:w="1823" w:type="dxa"/>
                </w:tcPr>
                <w:p w14:paraId="292DB98A"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Cp 10-14.9 mcg/mL</w:t>
                  </w:r>
                </w:p>
              </w:tc>
            </w:tr>
            <w:tr w:rsidR="002A324C" w:rsidRPr="00681130" w14:paraId="49DBAFFA" w14:textId="77777777" w:rsidTr="00681130">
              <w:trPr>
                <w:trHeight w:val="70"/>
              </w:trPr>
              <w:tc>
                <w:tcPr>
                  <w:tcW w:w="1823" w:type="dxa"/>
                </w:tcPr>
                <w:p w14:paraId="0B5EAB3B"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Cp 15-19.9 mcg/mL</w:t>
                  </w:r>
                </w:p>
              </w:tc>
            </w:tr>
            <w:tr w:rsidR="002A324C" w:rsidRPr="00681130" w14:paraId="35DC7AF6" w14:textId="77777777" w:rsidTr="00681130">
              <w:tc>
                <w:tcPr>
                  <w:tcW w:w="1823" w:type="dxa"/>
                </w:tcPr>
                <w:p w14:paraId="0BFAF6D8"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Cp 20-24.9 mcg/mL</w:t>
                  </w:r>
                </w:p>
              </w:tc>
            </w:tr>
            <w:tr w:rsidR="002A324C" w:rsidRPr="00681130" w14:paraId="708AE9CE" w14:textId="77777777" w:rsidTr="00681130">
              <w:tc>
                <w:tcPr>
                  <w:tcW w:w="1823" w:type="dxa"/>
                </w:tcPr>
                <w:p w14:paraId="6665F593"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Cp 25-30 mcg/mL</w:t>
                  </w:r>
                </w:p>
              </w:tc>
            </w:tr>
            <w:tr w:rsidR="002A324C" w:rsidRPr="00681130" w14:paraId="3FF1BC96" w14:textId="77777777" w:rsidTr="00681130">
              <w:tc>
                <w:tcPr>
                  <w:tcW w:w="1823" w:type="dxa"/>
                </w:tcPr>
                <w:p w14:paraId="1C388923"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Cp &gt;30 mcg/mL</w:t>
                  </w:r>
                </w:p>
              </w:tc>
            </w:tr>
          </w:tbl>
          <w:p w14:paraId="37DC9B29" w14:textId="77777777" w:rsidR="002A324C" w:rsidRPr="00681130" w:rsidRDefault="002A324C">
            <w:pPr>
              <w:spacing w:after="120"/>
              <w:rPr>
                <w:rFonts w:asciiTheme="majorHAnsi" w:eastAsia="Calibri" w:hAnsiTheme="majorHAnsi" w:cstheme="majorHAnsi"/>
                <w:sz w:val="20"/>
                <w:szCs w:val="20"/>
              </w:rPr>
            </w:pPr>
          </w:p>
        </w:tc>
        <w:tc>
          <w:tcPr>
            <w:tcW w:w="1499" w:type="pct"/>
            <w:tcBorders>
              <w:top w:val="single" w:sz="12" w:space="0" w:color="000000"/>
              <w:bottom w:val="single" w:sz="12" w:space="0" w:color="000000"/>
            </w:tcBorders>
            <w:vAlign w:val="center"/>
          </w:tcPr>
          <w:p w14:paraId="2539577A" w14:textId="77777777" w:rsidR="002A324C" w:rsidRPr="00681130" w:rsidRDefault="002A324C">
            <w:pPr>
              <w:widowControl w:val="0"/>
              <w:rPr>
                <w:rFonts w:asciiTheme="majorHAnsi" w:eastAsia="Calibri" w:hAnsiTheme="majorHAnsi" w:cstheme="majorHAnsi"/>
                <w:sz w:val="20"/>
                <w:szCs w:val="20"/>
              </w:rPr>
            </w:pPr>
          </w:p>
          <w:tbl>
            <w:tblPr>
              <w:tblStyle w:val="a4"/>
              <w:tblW w:w="3016" w:type="dxa"/>
              <w:tblBorders>
                <w:top w:val="nil"/>
                <w:left w:val="nil"/>
                <w:bottom w:val="nil"/>
                <w:right w:val="nil"/>
                <w:insideH w:val="single" w:sz="4" w:space="0" w:color="808080"/>
                <w:insideV w:val="single" w:sz="4" w:space="0" w:color="808080"/>
              </w:tblBorders>
              <w:tblLook w:val="0400" w:firstRow="0" w:lastRow="0" w:firstColumn="0" w:lastColumn="0" w:noHBand="0" w:noVBand="1"/>
            </w:tblPr>
            <w:tblGrid>
              <w:gridCol w:w="3016"/>
            </w:tblGrid>
            <w:tr w:rsidR="002A324C" w:rsidRPr="00681130" w14:paraId="093C2746" w14:textId="77777777" w:rsidTr="00681130">
              <w:tc>
                <w:tcPr>
                  <w:tcW w:w="3016" w:type="dxa"/>
                </w:tcPr>
                <w:p w14:paraId="23DDA629"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1000mg after each HD</w:t>
                  </w:r>
                </w:p>
              </w:tc>
            </w:tr>
            <w:tr w:rsidR="002A324C" w:rsidRPr="00681130" w14:paraId="2590C727" w14:textId="77777777" w:rsidTr="00681130">
              <w:tc>
                <w:tcPr>
                  <w:tcW w:w="3016" w:type="dxa"/>
                </w:tcPr>
                <w:p w14:paraId="63BB5AA1"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750mg after each HD</w:t>
                  </w:r>
                </w:p>
              </w:tc>
            </w:tr>
            <w:tr w:rsidR="002A324C" w:rsidRPr="00681130" w14:paraId="10C9F3B0" w14:textId="77777777" w:rsidTr="00681130">
              <w:tc>
                <w:tcPr>
                  <w:tcW w:w="3016" w:type="dxa"/>
                </w:tcPr>
                <w:p w14:paraId="3E34F5E4"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Continue current MD regimen</w:t>
                  </w:r>
                </w:p>
              </w:tc>
            </w:tr>
            <w:tr w:rsidR="002A324C" w:rsidRPr="00681130" w14:paraId="5A33F960" w14:textId="77777777" w:rsidTr="00681130">
              <w:tc>
                <w:tcPr>
                  <w:tcW w:w="3016" w:type="dxa"/>
                </w:tcPr>
                <w:p w14:paraId="2E9661D5"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Continue current MD regimen</w:t>
                  </w:r>
                </w:p>
              </w:tc>
            </w:tr>
            <w:tr w:rsidR="002A324C" w:rsidRPr="00681130" w14:paraId="79A0D3BE" w14:textId="77777777" w:rsidTr="00681130">
              <w:tc>
                <w:tcPr>
                  <w:tcW w:w="3016" w:type="dxa"/>
                </w:tcPr>
                <w:p w14:paraId="16F2BF47"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Decrease dose by 250mg</w:t>
                  </w:r>
                </w:p>
              </w:tc>
            </w:tr>
            <w:tr w:rsidR="002A324C" w:rsidRPr="00681130" w14:paraId="468B6106" w14:textId="77777777" w:rsidTr="00681130">
              <w:trPr>
                <w:trHeight w:val="188"/>
              </w:trPr>
              <w:tc>
                <w:tcPr>
                  <w:tcW w:w="3016" w:type="dxa"/>
                </w:tcPr>
                <w:p w14:paraId="29E80EC5"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 xml:space="preserve">Hold Vancomycin </w:t>
                  </w:r>
                </w:p>
              </w:tc>
            </w:tr>
          </w:tbl>
          <w:p w14:paraId="6C160BA1" w14:textId="77777777" w:rsidR="002A324C" w:rsidRPr="00681130" w:rsidRDefault="002A324C">
            <w:pPr>
              <w:spacing w:after="120"/>
              <w:rPr>
                <w:rFonts w:asciiTheme="majorHAnsi" w:eastAsia="Calibri" w:hAnsiTheme="majorHAnsi" w:cstheme="majorHAnsi"/>
                <w:sz w:val="20"/>
                <w:szCs w:val="20"/>
              </w:rPr>
            </w:pPr>
          </w:p>
        </w:tc>
      </w:tr>
      <w:tr w:rsidR="002A324C" w:rsidRPr="00681130" w14:paraId="4F57FB52" w14:textId="77777777" w:rsidTr="00681130">
        <w:trPr>
          <w:trHeight w:val="1626"/>
        </w:trPr>
        <w:tc>
          <w:tcPr>
            <w:tcW w:w="462" w:type="pct"/>
            <w:tcBorders>
              <w:top w:val="single" w:sz="12" w:space="0" w:color="000000"/>
              <w:bottom w:val="single" w:sz="12" w:space="0" w:color="000000"/>
            </w:tcBorders>
            <w:vAlign w:val="center"/>
          </w:tcPr>
          <w:p w14:paraId="4E428F8E"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70-90.9kg</w:t>
            </w:r>
          </w:p>
        </w:tc>
        <w:tc>
          <w:tcPr>
            <w:tcW w:w="426" w:type="pct"/>
            <w:tcBorders>
              <w:top w:val="single" w:sz="12" w:space="0" w:color="000000"/>
              <w:bottom w:val="single" w:sz="12" w:space="0" w:color="000000"/>
            </w:tcBorders>
            <w:vAlign w:val="center"/>
          </w:tcPr>
          <w:p w14:paraId="6A8A0C1B"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 xml:space="preserve">2000 mg </w:t>
            </w:r>
          </w:p>
        </w:tc>
        <w:tc>
          <w:tcPr>
            <w:tcW w:w="844" w:type="pct"/>
            <w:tcBorders>
              <w:top w:val="single" w:sz="12" w:space="0" w:color="000000"/>
              <w:bottom w:val="single" w:sz="12" w:space="0" w:color="000000"/>
            </w:tcBorders>
            <w:vAlign w:val="center"/>
          </w:tcPr>
          <w:p w14:paraId="4CFF59A0" w14:textId="77777777" w:rsidR="002A324C" w:rsidRPr="00681130" w:rsidRDefault="00681130">
            <w:pPr>
              <w:spacing w:after="120"/>
              <w:jc w:val="center"/>
              <w:rPr>
                <w:rFonts w:asciiTheme="majorHAnsi" w:eastAsia="Calibri" w:hAnsiTheme="majorHAnsi" w:cstheme="majorHAnsi"/>
                <w:sz w:val="20"/>
                <w:szCs w:val="20"/>
              </w:rPr>
            </w:pPr>
            <w:r w:rsidRPr="00681130">
              <w:rPr>
                <w:rFonts w:asciiTheme="majorHAnsi" w:eastAsia="Calibri" w:hAnsiTheme="majorHAnsi" w:cstheme="majorHAnsi"/>
                <w:sz w:val="20"/>
                <w:szCs w:val="20"/>
              </w:rPr>
              <w:t>750mg after HD</w:t>
            </w:r>
          </w:p>
        </w:tc>
        <w:tc>
          <w:tcPr>
            <w:tcW w:w="824" w:type="pct"/>
            <w:tcBorders>
              <w:top w:val="single" w:sz="12" w:space="0" w:color="000000"/>
              <w:bottom w:val="single" w:sz="12" w:space="0" w:color="000000"/>
            </w:tcBorders>
            <w:vAlign w:val="center"/>
          </w:tcPr>
          <w:p w14:paraId="7B1E2597" w14:textId="77777777" w:rsidR="002A324C" w:rsidRPr="00681130" w:rsidRDefault="00681130">
            <w:pPr>
              <w:jc w:val="center"/>
              <w:rPr>
                <w:rFonts w:asciiTheme="majorHAnsi" w:eastAsia="Calibri" w:hAnsiTheme="majorHAnsi" w:cstheme="majorHAnsi"/>
                <w:sz w:val="20"/>
                <w:szCs w:val="20"/>
              </w:rPr>
            </w:pPr>
            <w:r w:rsidRPr="00681130">
              <w:rPr>
                <w:rFonts w:asciiTheme="majorHAnsi" w:eastAsia="Calibri" w:hAnsiTheme="majorHAnsi" w:cstheme="majorHAnsi"/>
                <w:sz w:val="20"/>
                <w:szCs w:val="20"/>
              </w:rPr>
              <w:t xml:space="preserve">1000 mg </w:t>
            </w:r>
          </w:p>
          <w:p w14:paraId="4E950339" w14:textId="77777777" w:rsidR="002A324C" w:rsidRPr="00681130" w:rsidRDefault="00681130">
            <w:pPr>
              <w:jc w:val="center"/>
              <w:rPr>
                <w:rFonts w:asciiTheme="majorHAnsi" w:eastAsia="Calibri" w:hAnsiTheme="majorHAnsi" w:cstheme="majorHAnsi"/>
                <w:sz w:val="20"/>
                <w:szCs w:val="20"/>
              </w:rPr>
            </w:pPr>
            <w:r w:rsidRPr="00681130">
              <w:rPr>
                <w:rFonts w:asciiTheme="majorHAnsi" w:eastAsia="Calibri" w:hAnsiTheme="majorHAnsi" w:cstheme="majorHAnsi"/>
                <w:sz w:val="20"/>
                <w:szCs w:val="20"/>
              </w:rPr>
              <w:t>after HD</w:t>
            </w:r>
          </w:p>
        </w:tc>
        <w:tc>
          <w:tcPr>
            <w:tcW w:w="946" w:type="pct"/>
            <w:tcBorders>
              <w:top w:val="single" w:sz="12" w:space="0" w:color="000000"/>
              <w:bottom w:val="single" w:sz="12" w:space="0" w:color="000000"/>
            </w:tcBorders>
            <w:vAlign w:val="center"/>
          </w:tcPr>
          <w:p w14:paraId="45A974CD" w14:textId="77777777" w:rsidR="002A324C" w:rsidRPr="00681130" w:rsidRDefault="002A324C">
            <w:pPr>
              <w:widowControl w:val="0"/>
              <w:rPr>
                <w:rFonts w:asciiTheme="majorHAnsi" w:eastAsia="Calibri" w:hAnsiTheme="majorHAnsi" w:cstheme="majorHAnsi"/>
                <w:sz w:val="20"/>
                <w:szCs w:val="20"/>
              </w:rPr>
            </w:pPr>
          </w:p>
          <w:tbl>
            <w:tblPr>
              <w:tblStyle w:val="a5"/>
              <w:tblW w:w="1823" w:type="dxa"/>
              <w:tblBorders>
                <w:top w:val="nil"/>
                <w:left w:val="nil"/>
                <w:bottom w:val="nil"/>
                <w:right w:val="nil"/>
                <w:insideH w:val="single" w:sz="4" w:space="0" w:color="808080"/>
                <w:insideV w:val="single" w:sz="4" w:space="0" w:color="808080"/>
              </w:tblBorders>
              <w:tblLook w:val="0400" w:firstRow="0" w:lastRow="0" w:firstColumn="0" w:lastColumn="0" w:noHBand="0" w:noVBand="1"/>
            </w:tblPr>
            <w:tblGrid>
              <w:gridCol w:w="1823"/>
            </w:tblGrid>
            <w:tr w:rsidR="002A324C" w:rsidRPr="00681130" w14:paraId="4CCFAFA3" w14:textId="77777777" w:rsidTr="00681130">
              <w:tc>
                <w:tcPr>
                  <w:tcW w:w="1823" w:type="dxa"/>
                </w:tcPr>
                <w:p w14:paraId="10F2C72C"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Cp &lt; 10 mcg/mL</w:t>
                  </w:r>
                </w:p>
              </w:tc>
            </w:tr>
            <w:tr w:rsidR="002A324C" w:rsidRPr="00681130" w14:paraId="335BC8C9" w14:textId="77777777" w:rsidTr="00681130">
              <w:tc>
                <w:tcPr>
                  <w:tcW w:w="1823" w:type="dxa"/>
                </w:tcPr>
                <w:p w14:paraId="5691D316"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Cp 10-14.9 mcg/mL</w:t>
                  </w:r>
                </w:p>
              </w:tc>
            </w:tr>
            <w:tr w:rsidR="002A324C" w:rsidRPr="00681130" w14:paraId="28324B05" w14:textId="77777777" w:rsidTr="00681130">
              <w:trPr>
                <w:trHeight w:val="70"/>
              </w:trPr>
              <w:tc>
                <w:tcPr>
                  <w:tcW w:w="1823" w:type="dxa"/>
                </w:tcPr>
                <w:p w14:paraId="6332A008"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Cp 15-19.9 mcg/mL</w:t>
                  </w:r>
                </w:p>
              </w:tc>
            </w:tr>
            <w:tr w:rsidR="002A324C" w:rsidRPr="00681130" w14:paraId="14E2CDAB" w14:textId="77777777" w:rsidTr="00681130">
              <w:tc>
                <w:tcPr>
                  <w:tcW w:w="1823" w:type="dxa"/>
                </w:tcPr>
                <w:p w14:paraId="2C74B8D0"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Cp 20-24.9 mcg/mL</w:t>
                  </w:r>
                </w:p>
              </w:tc>
            </w:tr>
            <w:tr w:rsidR="002A324C" w:rsidRPr="00681130" w14:paraId="767F90B4" w14:textId="77777777" w:rsidTr="00681130">
              <w:tc>
                <w:tcPr>
                  <w:tcW w:w="1823" w:type="dxa"/>
                </w:tcPr>
                <w:p w14:paraId="5BF8E53F"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Cp 25-30 mcg/mL</w:t>
                  </w:r>
                </w:p>
              </w:tc>
            </w:tr>
            <w:tr w:rsidR="002A324C" w:rsidRPr="00681130" w14:paraId="0D0ED574" w14:textId="77777777" w:rsidTr="00681130">
              <w:tc>
                <w:tcPr>
                  <w:tcW w:w="1823" w:type="dxa"/>
                </w:tcPr>
                <w:p w14:paraId="16DF3C09"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Cp &gt;30 mcg/mL</w:t>
                  </w:r>
                </w:p>
              </w:tc>
            </w:tr>
          </w:tbl>
          <w:p w14:paraId="0D1F6EC1" w14:textId="77777777" w:rsidR="002A324C" w:rsidRPr="00681130" w:rsidRDefault="002A324C">
            <w:pPr>
              <w:spacing w:after="120"/>
              <w:rPr>
                <w:rFonts w:asciiTheme="majorHAnsi" w:eastAsia="Calibri" w:hAnsiTheme="majorHAnsi" w:cstheme="majorHAnsi"/>
                <w:sz w:val="20"/>
                <w:szCs w:val="20"/>
              </w:rPr>
            </w:pPr>
          </w:p>
        </w:tc>
        <w:tc>
          <w:tcPr>
            <w:tcW w:w="1499" w:type="pct"/>
            <w:tcBorders>
              <w:top w:val="single" w:sz="12" w:space="0" w:color="000000"/>
              <w:bottom w:val="single" w:sz="12" w:space="0" w:color="000000"/>
            </w:tcBorders>
            <w:vAlign w:val="center"/>
          </w:tcPr>
          <w:p w14:paraId="09E88AA7" w14:textId="77777777" w:rsidR="002A324C" w:rsidRPr="00681130" w:rsidRDefault="002A324C">
            <w:pPr>
              <w:widowControl w:val="0"/>
              <w:rPr>
                <w:rFonts w:asciiTheme="majorHAnsi" w:eastAsia="Calibri" w:hAnsiTheme="majorHAnsi" w:cstheme="majorHAnsi"/>
                <w:sz w:val="20"/>
                <w:szCs w:val="20"/>
              </w:rPr>
            </w:pPr>
          </w:p>
          <w:tbl>
            <w:tblPr>
              <w:tblStyle w:val="a6"/>
              <w:tblW w:w="3016" w:type="dxa"/>
              <w:tblBorders>
                <w:top w:val="nil"/>
                <w:left w:val="nil"/>
                <w:bottom w:val="nil"/>
                <w:right w:val="nil"/>
                <w:insideH w:val="single" w:sz="4" w:space="0" w:color="808080"/>
                <w:insideV w:val="single" w:sz="4" w:space="0" w:color="808080"/>
              </w:tblBorders>
              <w:tblLook w:val="0400" w:firstRow="0" w:lastRow="0" w:firstColumn="0" w:lastColumn="0" w:noHBand="0" w:noVBand="1"/>
            </w:tblPr>
            <w:tblGrid>
              <w:gridCol w:w="3016"/>
            </w:tblGrid>
            <w:tr w:rsidR="002A324C" w:rsidRPr="00681130" w14:paraId="7E631764" w14:textId="77777777" w:rsidTr="00681130">
              <w:tc>
                <w:tcPr>
                  <w:tcW w:w="3016" w:type="dxa"/>
                </w:tcPr>
                <w:p w14:paraId="391BE669"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1000mg after each HD</w:t>
                  </w:r>
                </w:p>
              </w:tc>
            </w:tr>
            <w:tr w:rsidR="002A324C" w:rsidRPr="00681130" w14:paraId="2A0B5C41" w14:textId="77777777" w:rsidTr="00681130">
              <w:tc>
                <w:tcPr>
                  <w:tcW w:w="3016" w:type="dxa"/>
                </w:tcPr>
                <w:p w14:paraId="3A8561F2"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1000mg after each HD</w:t>
                  </w:r>
                </w:p>
              </w:tc>
            </w:tr>
            <w:tr w:rsidR="002A324C" w:rsidRPr="00681130" w14:paraId="533E9139" w14:textId="77777777" w:rsidTr="00681130">
              <w:tc>
                <w:tcPr>
                  <w:tcW w:w="3016" w:type="dxa"/>
                </w:tcPr>
                <w:p w14:paraId="10DEED34"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Continue current MD regimen</w:t>
                  </w:r>
                </w:p>
              </w:tc>
            </w:tr>
            <w:tr w:rsidR="002A324C" w:rsidRPr="00681130" w14:paraId="5A4DE0A5" w14:textId="77777777" w:rsidTr="00681130">
              <w:tc>
                <w:tcPr>
                  <w:tcW w:w="3016" w:type="dxa"/>
                </w:tcPr>
                <w:p w14:paraId="22560D6D"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Continue current MD regimen</w:t>
                  </w:r>
                </w:p>
              </w:tc>
            </w:tr>
            <w:tr w:rsidR="002A324C" w:rsidRPr="00681130" w14:paraId="108FB830" w14:textId="77777777" w:rsidTr="00681130">
              <w:tc>
                <w:tcPr>
                  <w:tcW w:w="3016" w:type="dxa"/>
                </w:tcPr>
                <w:p w14:paraId="78AFEFCE"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Decrease dose by 250mg</w:t>
                  </w:r>
                </w:p>
              </w:tc>
            </w:tr>
            <w:tr w:rsidR="002A324C" w:rsidRPr="00681130" w14:paraId="471F83A1" w14:textId="77777777" w:rsidTr="00681130">
              <w:tc>
                <w:tcPr>
                  <w:tcW w:w="3016" w:type="dxa"/>
                </w:tcPr>
                <w:p w14:paraId="7499B0C6"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 xml:space="preserve">Hold Vancomycin </w:t>
                  </w:r>
                </w:p>
              </w:tc>
            </w:tr>
          </w:tbl>
          <w:p w14:paraId="1F09A051" w14:textId="77777777" w:rsidR="002A324C" w:rsidRPr="00681130" w:rsidRDefault="002A324C">
            <w:pPr>
              <w:spacing w:after="120"/>
              <w:rPr>
                <w:rFonts w:asciiTheme="majorHAnsi" w:eastAsia="Calibri" w:hAnsiTheme="majorHAnsi" w:cstheme="majorHAnsi"/>
                <w:sz w:val="20"/>
                <w:szCs w:val="20"/>
              </w:rPr>
            </w:pPr>
          </w:p>
        </w:tc>
      </w:tr>
      <w:tr w:rsidR="002A324C" w:rsidRPr="00681130" w14:paraId="1451B346" w14:textId="77777777" w:rsidTr="00681130">
        <w:tc>
          <w:tcPr>
            <w:tcW w:w="462" w:type="pct"/>
            <w:tcBorders>
              <w:top w:val="single" w:sz="12" w:space="0" w:color="000000"/>
              <w:bottom w:val="single" w:sz="12" w:space="0" w:color="000000"/>
            </w:tcBorders>
          </w:tcPr>
          <w:p w14:paraId="7D5165F5" w14:textId="77777777" w:rsidR="002A324C" w:rsidRPr="00681130" w:rsidRDefault="002A324C">
            <w:pPr>
              <w:spacing w:after="120"/>
              <w:rPr>
                <w:rFonts w:asciiTheme="majorHAnsi" w:eastAsia="Calibri" w:hAnsiTheme="majorHAnsi" w:cstheme="majorHAnsi"/>
                <w:sz w:val="20"/>
                <w:szCs w:val="20"/>
              </w:rPr>
            </w:pPr>
          </w:p>
          <w:p w14:paraId="36C15ACC" w14:textId="77777777" w:rsidR="002A324C" w:rsidRPr="00681130" w:rsidRDefault="002A324C">
            <w:pPr>
              <w:spacing w:after="120"/>
              <w:rPr>
                <w:rFonts w:asciiTheme="majorHAnsi" w:eastAsia="Calibri" w:hAnsiTheme="majorHAnsi" w:cstheme="majorHAnsi"/>
                <w:sz w:val="20"/>
                <w:szCs w:val="20"/>
              </w:rPr>
            </w:pPr>
          </w:p>
          <w:p w14:paraId="32C50214" w14:textId="77777777" w:rsidR="002A324C" w:rsidRPr="00681130" w:rsidRDefault="002A324C">
            <w:pPr>
              <w:spacing w:after="120"/>
              <w:rPr>
                <w:rFonts w:asciiTheme="majorHAnsi" w:eastAsia="Calibri" w:hAnsiTheme="majorHAnsi" w:cstheme="majorHAnsi"/>
                <w:sz w:val="20"/>
                <w:szCs w:val="20"/>
              </w:rPr>
            </w:pPr>
          </w:p>
          <w:p w14:paraId="4AED750F"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91-110.9kg</w:t>
            </w:r>
          </w:p>
        </w:tc>
        <w:tc>
          <w:tcPr>
            <w:tcW w:w="426" w:type="pct"/>
            <w:tcBorders>
              <w:top w:val="single" w:sz="12" w:space="0" w:color="000000"/>
              <w:bottom w:val="single" w:sz="12" w:space="0" w:color="000000"/>
            </w:tcBorders>
          </w:tcPr>
          <w:p w14:paraId="12B09858" w14:textId="77777777" w:rsidR="002A324C" w:rsidRPr="00681130" w:rsidRDefault="002A324C">
            <w:pPr>
              <w:spacing w:after="120"/>
              <w:rPr>
                <w:rFonts w:asciiTheme="majorHAnsi" w:eastAsia="Calibri" w:hAnsiTheme="majorHAnsi" w:cstheme="majorHAnsi"/>
                <w:sz w:val="20"/>
                <w:szCs w:val="20"/>
              </w:rPr>
            </w:pPr>
          </w:p>
          <w:p w14:paraId="1BD11DEB" w14:textId="77777777" w:rsidR="002A324C" w:rsidRPr="00681130" w:rsidRDefault="002A324C">
            <w:pPr>
              <w:spacing w:after="120"/>
              <w:rPr>
                <w:rFonts w:asciiTheme="majorHAnsi" w:eastAsia="Calibri" w:hAnsiTheme="majorHAnsi" w:cstheme="majorHAnsi"/>
                <w:sz w:val="20"/>
                <w:szCs w:val="20"/>
              </w:rPr>
            </w:pPr>
          </w:p>
          <w:p w14:paraId="407591D2" w14:textId="77777777" w:rsidR="002A324C" w:rsidRPr="00681130" w:rsidRDefault="002A324C">
            <w:pPr>
              <w:spacing w:after="120"/>
              <w:rPr>
                <w:rFonts w:asciiTheme="majorHAnsi" w:eastAsia="Calibri" w:hAnsiTheme="majorHAnsi" w:cstheme="majorHAnsi"/>
                <w:sz w:val="20"/>
                <w:szCs w:val="20"/>
              </w:rPr>
            </w:pPr>
          </w:p>
          <w:p w14:paraId="7967E9C5"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2250 mg</w:t>
            </w:r>
          </w:p>
        </w:tc>
        <w:tc>
          <w:tcPr>
            <w:tcW w:w="844" w:type="pct"/>
            <w:tcBorders>
              <w:top w:val="single" w:sz="12" w:space="0" w:color="000000"/>
              <w:bottom w:val="single" w:sz="12" w:space="0" w:color="000000"/>
            </w:tcBorders>
          </w:tcPr>
          <w:p w14:paraId="22802B85" w14:textId="77777777" w:rsidR="002A324C" w:rsidRPr="00681130" w:rsidRDefault="002A324C">
            <w:pPr>
              <w:spacing w:after="120"/>
              <w:jc w:val="center"/>
              <w:rPr>
                <w:rFonts w:asciiTheme="majorHAnsi" w:eastAsia="Calibri" w:hAnsiTheme="majorHAnsi" w:cstheme="majorHAnsi"/>
                <w:sz w:val="20"/>
                <w:szCs w:val="20"/>
              </w:rPr>
            </w:pPr>
          </w:p>
          <w:p w14:paraId="2A125806" w14:textId="77777777" w:rsidR="002A324C" w:rsidRPr="00681130" w:rsidRDefault="002A324C">
            <w:pPr>
              <w:spacing w:after="120"/>
              <w:jc w:val="center"/>
              <w:rPr>
                <w:rFonts w:asciiTheme="majorHAnsi" w:eastAsia="Calibri" w:hAnsiTheme="majorHAnsi" w:cstheme="majorHAnsi"/>
                <w:sz w:val="20"/>
                <w:szCs w:val="20"/>
              </w:rPr>
            </w:pPr>
          </w:p>
          <w:p w14:paraId="1CC79554" w14:textId="77777777" w:rsidR="002A324C" w:rsidRPr="00681130" w:rsidRDefault="002A324C">
            <w:pPr>
              <w:spacing w:after="120"/>
              <w:jc w:val="center"/>
              <w:rPr>
                <w:rFonts w:asciiTheme="majorHAnsi" w:eastAsia="Calibri" w:hAnsiTheme="majorHAnsi" w:cstheme="majorHAnsi"/>
                <w:sz w:val="20"/>
                <w:szCs w:val="20"/>
              </w:rPr>
            </w:pPr>
          </w:p>
          <w:p w14:paraId="2FB8855E" w14:textId="77777777" w:rsidR="002A324C" w:rsidRPr="00681130" w:rsidRDefault="00681130">
            <w:pPr>
              <w:spacing w:after="120"/>
              <w:jc w:val="center"/>
              <w:rPr>
                <w:rFonts w:asciiTheme="majorHAnsi" w:eastAsia="Calibri" w:hAnsiTheme="majorHAnsi" w:cstheme="majorHAnsi"/>
                <w:sz w:val="20"/>
                <w:szCs w:val="20"/>
              </w:rPr>
            </w:pPr>
            <w:r w:rsidRPr="00681130">
              <w:rPr>
                <w:rFonts w:asciiTheme="majorHAnsi" w:eastAsia="Calibri" w:hAnsiTheme="majorHAnsi" w:cstheme="majorHAnsi"/>
                <w:sz w:val="20"/>
                <w:szCs w:val="20"/>
              </w:rPr>
              <w:t>750mg after HD</w:t>
            </w:r>
          </w:p>
          <w:p w14:paraId="54E1366C" w14:textId="77777777" w:rsidR="002A324C" w:rsidRPr="00681130" w:rsidRDefault="002A324C">
            <w:pPr>
              <w:spacing w:after="120"/>
              <w:jc w:val="center"/>
              <w:rPr>
                <w:rFonts w:asciiTheme="majorHAnsi" w:eastAsia="Calibri" w:hAnsiTheme="majorHAnsi" w:cstheme="majorHAnsi"/>
                <w:sz w:val="20"/>
                <w:szCs w:val="20"/>
              </w:rPr>
            </w:pPr>
          </w:p>
        </w:tc>
        <w:tc>
          <w:tcPr>
            <w:tcW w:w="824" w:type="pct"/>
            <w:tcBorders>
              <w:top w:val="single" w:sz="12" w:space="0" w:color="000000"/>
              <w:bottom w:val="single" w:sz="12" w:space="0" w:color="000000"/>
            </w:tcBorders>
          </w:tcPr>
          <w:p w14:paraId="5EF1ADD1" w14:textId="77777777" w:rsidR="002A324C" w:rsidRPr="00681130" w:rsidRDefault="002A324C">
            <w:pPr>
              <w:jc w:val="center"/>
              <w:rPr>
                <w:rFonts w:asciiTheme="majorHAnsi" w:eastAsia="Calibri" w:hAnsiTheme="majorHAnsi" w:cstheme="majorHAnsi"/>
                <w:sz w:val="20"/>
                <w:szCs w:val="20"/>
              </w:rPr>
            </w:pPr>
          </w:p>
          <w:p w14:paraId="78A609EF" w14:textId="77777777" w:rsidR="002A324C" w:rsidRPr="00681130" w:rsidRDefault="002A324C">
            <w:pPr>
              <w:jc w:val="center"/>
              <w:rPr>
                <w:rFonts w:asciiTheme="majorHAnsi" w:eastAsia="Calibri" w:hAnsiTheme="majorHAnsi" w:cstheme="majorHAnsi"/>
                <w:sz w:val="20"/>
                <w:szCs w:val="20"/>
              </w:rPr>
            </w:pPr>
          </w:p>
          <w:p w14:paraId="14D7FBF4" w14:textId="77777777" w:rsidR="002A324C" w:rsidRPr="00681130" w:rsidRDefault="002A324C">
            <w:pPr>
              <w:jc w:val="center"/>
              <w:rPr>
                <w:rFonts w:asciiTheme="majorHAnsi" w:eastAsia="Calibri" w:hAnsiTheme="majorHAnsi" w:cstheme="majorHAnsi"/>
                <w:sz w:val="20"/>
                <w:szCs w:val="20"/>
              </w:rPr>
            </w:pPr>
          </w:p>
          <w:p w14:paraId="3CE9894C" w14:textId="77777777" w:rsidR="002A324C" w:rsidRPr="00681130" w:rsidRDefault="002A324C">
            <w:pPr>
              <w:jc w:val="center"/>
              <w:rPr>
                <w:rFonts w:asciiTheme="majorHAnsi" w:eastAsia="Calibri" w:hAnsiTheme="majorHAnsi" w:cstheme="majorHAnsi"/>
                <w:sz w:val="20"/>
                <w:szCs w:val="20"/>
              </w:rPr>
            </w:pPr>
          </w:p>
          <w:p w14:paraId="6644F14A" w14:textId="77777777" w:rsidR="002A324C" w:rsidRPr="00681130" w:rsidRDefault="00681130">
            <w:pPr>
              <w:jc w:val="center"/>
              <w:rPr>
                <w:rFonts w:asciiTheme="majorHAnsi" w:eastAsia="Calibri" w:hAnsiTheme="majorHAnsi" w:cstheme="majorHAnsi"/>
                <w:sz w:val="20"/>
                <w:szCs w:val="20"/>
              </w:rPr>
            </w:pPr>
            <w:r w:rsidRPr="00681130">
              <w:rPr>
                <w:rFonts w:asciiTheme="majorHAnsi" w:eastAsia="Calibri" w:hAnsiTheme="majorHAnsi" w:cstheme="majorHAnsi"/>
                <w:sz w:val="20"/>
                <w:szCs w:val="20"/>
              </w:rPr>
              <w:t xml:space="preserve">1000 mg </w:t>
            </w:r>
          </w:p>
          <w:p w14:paraId="7DE98510" w14:textId="77777777" w:rsidR="002A324C" w:rsidRPr="00681130" w:rsidRDefault="00681130">
            <w:pPr>
              <w:jc w:val="center"/>
              <w:rPr>
                <w:rFonts w:asciiTheme="majorHAnsi" w:eastAsia="Calibri" w:hAnsiTheme="majorHAnsi" w:cstheme="majorHAnsi"/>
                <w:sz w:val="20"/>
                <w:szCs w:val="20"/>
              </w:rPr>
            </w:pPr>
            <w:r w:rsidRPr="00681130">
              <w:rPr>
                <w:rFonts w:asciiTheme="majorHAnsi" w:eastAsia="Calibri" w:hAnsiTheme="majorHAnsi" w:cstheme="majorHAnsi"/>
                <w:sz w:val="20"/>
                <w:szCs w:val="20"/>
              </w:rPr>
              <w:t>after HD</w:t>
            </w:r>
          </w:p>
        </w:tc>
        <w:tc>
          <w:tcPr>
            <w:tcW w:w="946" w:type="pct"/>
            <w:tcBorders>
              <w:top w:val="single" w:sz="12" w:space="0" w:color="000000"/>
              <w:bottom w:val="single" w:sz="12" w:space="0" w:color="000000"/>
            </w:tcBorders>
          </w:tcPr>
          <w:p w14:paraId="02A2A736" w14:textId="77777777" w:rsidR="002A324C" w:rsidRPr="00681130" w:rsidRDefault="002A324C">
            <w:pPr>
              <w:widowControl w:val="0"/>
              <w:rPr>
                <w:rFonts w:asciiTheme="majorHAnsi" w:eastAsia="Calibri" w:hAnsiTheme="majorHAnsi" w:cstheme="majorHAnsi"/>
                <w:sz w:val="20"/>
                <w:szCs w:val="20"/>
              </w:rPr>
            </w:pPr>
          </w:p>
          <w:tbl>
            <w:tblPr>
              <w:tblStyle w:val="a7"/>
              <w:tblW w:w="1823" w:type="dxa"/>
              <w:tblBorders>
                <w:top w:val="nil"/>
                <w:left w:val="nil"/>
                <w:bottom w:val="nil"/>
                <w:right w:val="nil"/>
                <w:insideH w:val="single" w:sz="4" w:space="0" w:color="808080"/>
                <w:insideV w:val="single" w:sz="4" w:space="0" w:color="808080"/>
              </w:tblBorders>
              <w:tblLook w:val="0400" w:firstRow="0" w:lastRow="0" w:firstColumn="0" w:lastColumn="0" w:noHBand="0" w:noVBand="1"/>
            </w:tblPr>
            <w:tblGrid>
              <w:gridCol w:w="1823"/>
            </w:tblGrid>
            <w:tr w:rsidR="002A324C" w:rsidRPr="00681130" w14:paraId="44A6EC16" w14:textId="77777777" w:rsidTr="00681130">
              <w:tc>
                <w:tcPr>
                  <w:tcW w:w="1823" w:type="dxa"/>
                </w:tcPr>
                <w:p w14:paraId="34F5616A"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Cp &lt; 10 mcg/mL</w:t>
                  </w:r>
                </w:p>
              </w:tc>
            </w:tr>
            <w:tr w:rsidR="002A324C" w:rsidRPr="00681130" w14:paraId="0E2F4A68" w14:textId="77777777" w:rsidTr="00681130">
              <w:tc>
                <w:tcPr>
                  <w:tcW w:w="1823" w:type="dxa"/>
                </w:tcPr>
                <w:p w14:paraId="52BBEAE6"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Cp 10-14.9 mcg/mL</w:t>
                  </w:r>
                </w:p>
              </w:tc>
            </w:tr>
            <w:tr w:rsidR="002A324C" w:rsidRPr="00681130" w14:paraId="69E7F54B" w14:textId="77777777" w:rsidTr="00681130">
              <w:trPr>
                <w:trHeight w:val="70"/>
              </w:trPr>
              <w:tc>
                <w:tcPr>
                  <w:tcW w:w="1823" w:type="dxa"/>
                </w:tcPr>
                <w:p w14:paraId="47462AE2"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Cp 15-19.9 mcg/mL</w:t>
                  </w:r>
                </w:p>
              </w:tc>
            </w:tr>
            <w:tr w:rsidR="002A324C" w:rsidRPr="00681130" w14:paraId="3B4012E0" w14:textId="77777777" w:rsidTr="00681130">
              <w:tc>
                <w:tcPr>
                  <w:tcW w:w="1823" w:type="dxa"/>
                </w:tcPr>
                <w:p w14:paraId="02BA2C3F"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Cp 20-24.9 mcg/mL</w:t>
                  </w:r>
                </w:p>
              </w:tc>
            </w:tr>
            <w:tr w:rsidR="002A324C" w:rsidRPr="00681130" w14:paraId="1FF34194" w14:textId="77777777" w:rsidTr="00681130">
              <w:tc>
                <w:tcPr>
                  <w:tcW w:w="1823" w:type="dxa"/>
                </w:tcPr>
                <w:p w14:paraId="2420F8BD"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Cp 25-30 mcg/mL</w:t>
                  </w:r>
                </w:p>
              </w:tc>
            </w:tr>
            <w:tr w:rsidR="002A324C" w:rsidRPr="00681130" w14:paraId="542DB3A3" w14:textId="77777777" w:rsidTr="00681130">
              <w:tc>
                <w:tcPr>
                  <w:tcW w:w="1823" w:type="dxa"/>
                </w:tcPr>
                <w:p w14:paraId="52279937"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Cp &gt;30 mcg/mL</w:t>
                  </w:r>
                </w:p>
              </w:tc>
            </w:tr>
          </w:tbl>
          <w:p w14:paraId="78515A30" w14:textId="77777777" w:rsidR="002A324C" w:rsidRPr="00681130" w:rsidRDefault="002A324C">
            <w:pPr>
              <w:spacing w:after="120"/>
              <w:rPr>
                <w:rFonts w:asciiTheme="majorHAnsi" w:eastAsia="Calibri" w:hAnsiTheme="majorHAnsi" w:cstheme="majorHAnsi"/>
                <w:sz w:val="20"/>
                <w:szCs w:val="20"/>
              </w:rPr>
            </w:pPr>
          </w:p>
        </w:tc>
        <w:tc>
          <w:tcPr>
            <w:tcW w:w="1499" w:type="pct"/>
            <w:tcBorders>
              <w:top w:val="single" w:sz="12" w:space="0" w:color="000000"/>
              <w:bottom w:val="single" w:sz="12" w:space="0" w:color="000000"/>
            </w:tcBorders>
          </w:tcPr>
          <w:p w14:paraId="63FDEBCE" w14:textId="77777777" w:rsidR="002A324C" w:rsidRPr="00681130" w:rsidRDefault="002A324C">
            <w:pPr>
              <w:widowControl w:val="0"/>
              <w:rPr>
                <w:rFonts w:asciiTheme="majorHAnsi" w:eastAsia="Calibri" w:hAnsiTheme="majorHAnsi" w:cstheme="majorHAnsi"/>
                <w:sz w:val="20"/>
                <w:szCs w:val="20"/>
              </w:rPr>
            </w:pPr>
          </w:p>
          <w:tbl>
            <w:tblPr>
              <w:tblStyle w:val="a8"/>
              <w:tblW w:w="2993" w:type="dxa"/>
              <w:tblBorders>
                <w:top w:val="nil"/>
                <w:left w:val="nil"/>
                <w:bottom w:val="nil"/>
                <w:right w:val="nil"/>
                <w:insideH w:val="single" w:sz="4" w:space="0" w:color="808080"/>
                <w:insideV w:val="single" w:sz="4" w:space="0" w:color="808080"/>
              </w:tblBorders>
              <w:tblLook w:val="0400" w:firstRow="0" w:lastRow="0" w:firstColumn="0" w:lastColumn="0" w:noHBand="0" w:noVBand="1"/>
            </w:tblPr>
            <w:tblGrid>
              <w:gridCol w:w="2993"/>
            </w:tblGrid>
            <w:tr w:rsidR="002A324C" w:rsidRPr="00681130" w14:paraId="489372B9" w14:textId="77777777" w:rsidTr="00681130">
              <w:tc>
                <w:tcPr>
                  <w:tcW w:w="2993" w:type="dxa"/>
                </w:tcPr>
                <w:p w14:paraId="1F4C2E28"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1250mg after each HD</w:t>
                  </w:r>
                </w:p>
              </w:tc>
            </w:tr>
            <w:tr w:rsidR="002A324C" w:rsidRPr="00681130" w14:paraId="622DD6CF" w14:textId="77777777" w:rsidTr="00681130">
              <w:tc>
                <w:tcPr>
                  <w:tcW w:w="2993" w:type="dxa"/>
                </w:tcPr>
                <w:p w14:paraId="5BA4F3E7"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1000mg after each HD</w:t>
                  </w:r>
                </w:p>
              </w:tc>
            </w:tr>
            <w:tr w:rsidR="002A324C" w:rsidRPr="00681130" w14:paraId="149D541A" w14:textId="77777777" w:rsidTr="00681130">
              <w:tc>
                <w:tcPr>
                  <w:tcW w:w="2993" w:type="dxa"/>
                </w:tcPr>
                <w:p w14:paraId="1396A0A3"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Continue current MD regimen</w:t>
                  </w:r>
                </w:p>
              </w:tc>
            </w:tr>
            <w:tr w:rsidR="002A324C" w:rsidRPr="00681130" w14:paraId="685B2687" w14:textId="77777777" w:rsidTr="00681130">
              <w:tc>
                <w:tcPr>
                  <w:tcW w:w="2993" w:type="dxa"/>
                </w:tcPr>
                <w:p w14:paraId="72B01679"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Continue current MD regimen</w:t>
                  </w:r>
                </w:p>
              </w:tc>
            </w:tr>
            <w:tr w:rsidR="002A324C" w:rsidRPr="00681130" w14:paraId="75173AC5" w14:textId="77777777" w:rsidTr="00681130">
              <w:tc>
                <w:tcPr>
                  <w:tcW w:w="2993" w:type="dxa"/>
                </w:tcPr>
                <w:p w14:paraId="0BE1EB94"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Decrease dose by 250mg</w:t>
                  </w:r>
                </w:p>
              </w:tc>
            </w:tr>
            <w:tr w:rsidR="002A324C" w:rsidRPr="00681130" w14:paraId="21B1919D" w14:textId="77777777" w:rsidTr="00681130">
              <w:tc>
                <w:tcPr>
                  <w:tcW w:w="2993" w:type="dxa"/>
                </w:tcPr>
                <w:p w14:paraId="173685A4"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 xml:space="preserve">Hold Vancomycin </w:t>
                  </w:r>
                </w:p>
              </w:tc>
            </w:tr>
          </w:tbl>
          <w:p w14:paraId="342BEDE1" w14:textId="77777777" w:rsidR="002A324C" w:rsidRPr="00681130" w:rsidRDefault="002A324C">
            <w:pPr>
              <w:spacing w:after="120"/>
              <w:rPr>
                <w:rFonts w:asciiTheme="majorHAnsi" w:eastAsia="Calibri" w:hAnsiTheme="majorHAnsi" w:cstheme="majorHAnsi"/>
                <w:sz w:val="20"/>
                <w:szCs w:val="20"/>
              </w:rPr>
            </w:pPr>
          </w:p>
        </w:tc>
      </w:tr>
      <w:tr w:rsidR="002A324C" w:rsidRPr="00681130" w14:paraId="112DD096" w14:textId="77777777" w:rsidTr="00681130">
        <w:trPr>
          <w:trHeight w:val="1860"/>
        </w:trPr>
        <w:tc>
          <w:tcPr>
            <w:tcW w:w="462" w:type="pct"/>
            <w:tcBorders>
              <w:top w:val="single" w:sz="12" w:space="0" w:color="000000"/>
              <w:bottom w:val="single" w:sz="12" w:space="0" w:color="000000"/>
            </w:tcBorders>
          </w:tcPr>
          <w:p w14:paraId="1D573270" w14:textId="77777777" w:rsidR="002A324C" w:rsidRPr="00681130" w:rsidRDefault="002A324C">
            <w:pPr>
              <w:spacing w:after="120"/>
              <w:rPr>
                <w:rFonts w:asciiTheme="majorHAnsi" w:eastAsia="Calibri" w:hAnsiTheme="majorHAnsi" w:cstheme="majorHAnsi"/>
                <w:sz w:val="20"/>
                <w:szCs w:val="20"/>
              </w:rPr>
            </w:pPr>
          </w:p>
          <w:p w14:paraId="3536BA65" w14:textId="77777777" w:rsidR="002A324C" w:rsidRPr="00681130" w:rsidRDefault="002A324C">
            <w:pPr>
              <w:spacing w:after="120"/>
              <w:rPr>
                <w:rFonts w:asciiTheme="majorHAnsi" w:eastAsia="Calibri" w:hAnsiTheme="majorHAnsi" w:cstheme="majorHAnsi"/>
                <w:sz w:val="20"/>
                <w:szCs w:val="20"/>
              </w:rPr>
            </w:pPr>
          </w:p>
          <w:p w14:paraId="0F998804" w14:textId="77777777" w:rsidR="002A324C" w:rsidRPr="00681130" w:rsidRDefault="002A324C">
            <w:pPr>
              <w:spacing w:after="120"/>
              <w:rPr>
                <w:rFonts w:asciiTheme="majorHAnsi" w:eastAsia="Calibri" w:hAnsiTheme="majorHAnsi" w:cstheme="majorHAnsi"/>
                <w:sz w:val="20"/>
                <w:szCs w:val="20"/>
              </w:rPr>
            </w:pPr>
          </w:p>
          <w:p w14:paraId="1003B455"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&gt;110kg</w:t>
            </w:r>
          </w:p>
        </w:tc>
        <w:tc>
          <w:tcPr>
            <w:tcW w:w="426" w:type="pct"/>
            <w:tcBorders>
              <w:top w:val="single" w:sz="12" w:space="0" w:color="000000"/>
              <w:bottom w:val="single" w:sz="12" w:space="0" w:color="000000"/>
            </w:tcBorders>
          </w:tcPr>
          <w:p w14:paraId="7929E12A" w14:textId="77777777" w:rsidR="002A324C" w:rsidRPr="00681130" w:rsidRDefault="002A324C">
            <w:pPr>
              <w:spacing w:after="120"/>
              <w:rPr>
                <w:rFonts w:asciiTheme="majorHAnsi" w:eastAsia="Calibri" w:hAnsiTheme="majorHAnsi" w:cstheme="majorHAnsi"/>
                <w:sz w:val="20"/>
                <w:szCs w:val="20"/>
              </w:rPr>
            </w:pPr>
          </w:p>
          <w:p w14:paraId="56B0029D" w14:textId="77777777" w:rsidR="002A324C" w:rsidRPr="00681130" w:rsidRDefault="002A324C">
            <w:pPr>
              <w:spacing w:after="120"/>
              <w:rPr>
                <w:rFonts w:asciiTheme="majorHAnsi" w:eastAsia="Calibri" w:hAnsiTheme="majorHAnsi" w:cstheme="majorHAnsi"/>
                <w:sz w:val="20"/>
                <w:szCs w:val="20"/>
              </w:rPr>
            </w:pPr>
          </w:p>
          <w:p w14:paraId="396132B4" w14:textId="77777777" w:rsidR="002A324C" w:rsidRPr="00681130" w:rsidRDefault="002A324C">
            <w:pPr>
              <w:spacing w:after="120"/>
              <w:rPr>
                <w:rFonts w:asciiTheme="majorHAnsi" w:eastAsia="Calibri" w:hAnsiTheme="majorHAnsi" w:cstheme="majorHAnsi"/>
                <w:sz w:val="20"/>
                <w:szCs w:val="20"/>
              </w:rPr>
            </w:pPr>
          </w:p>
          <w:p w14:paraId="60E2EBEB"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 xml:space="preserve">2500 mg  </w:t>
            </w:r>
          </w:p>
        </w:tc>
        <w:tc>
          <w:tcPr>
            <w:tcW w:w="844" w:type="pct"/>
            <w:tcBorders>
              <w:top w:val="single" w:sz="12" w:space="0" w:color="000000"/>
              <w:bottom w:val="single" w:sz="12" w:space="0" w:color="000000"/>
            </w:tcBorders>
          </w:tcPr>
          <w:p w14:paraId="7C818FFA" w14:textId="77777777" w:rsidR="002A324C" w:rsidRPr="00681130" w:rsidRDefault="002A324C">
            <w:pPr>
              <w:spacing w:after="120"/>
              <w:jc w:val="center"/>
              <w:rPr>
                <w:rFonts w:asciiTheme="majorHAnsi" w:eastAsia="Calibri" w:hAnsiTheme="majorHAnsi" w:cstheme="majorHAnsi"/>
                <w:sz w:val="20"/>
                <w:szCs w:val="20"/>
              </w:rPr>
            </w:pPr>
          </w:p>
          <w:p w14:paraId="117D6275" w14:textId="77777777" w:rsidR="002A324C" w:rsidRPr="00681130" w:rsidRDefault="002A324C">
            <w:pPr>
              <w:spacing w:after="120"/>
              <w:jc w:val="center"/>
              <w:rPr>
                <w:rFonts w:asciiTheme="majorHAnsi" w:eastAsia="Calibri" w:hAnsiTheme="majorHAnsi" w:cstheme="majorHAnsi"/>
                <w:sz w:val="20"/>
                <w:szCs w:val="20"/>
              </w:rPr>
            </w:pPr>
          </w:p>
          <w:p w14:paraId="1236E711" w14:textId="77777777" w:rsidR="002A324C" w:rsidRPr="00681130" w:rsidRDefault="002A324C">
            <w:pPr>
              <w:spacing w:after="120"/>
              <w:jc w:val="center"/>
              <w:rPr>
                <w:rFonts w:asciiTheme="majorHAnsi" w:eastAsia="Calibri" w:hAnsiTheme="majorHAnsi" w:cstheme="majorHAnsi"/>
                <w:sz w:val="20"/>
                <w:szCs w:val="20"/>
              </w:rPr>
            </w:pPr>
          </w:p>
          <w:p w14:paraId="5F4B325E" w14:textId="77777777" w:rsidR="002A324C" w:rsidRPr="00681130" w:rsidRDefault="00681130">
            <w:pPr>
              <w:spacing w:after="120"/>
              <w:jc w:val="center"/>
              <w:rPr>
                <w:rFonts w:asciiTheme="majorHAnsi" w:eastAsia="Calibri" w:hAnsiTheme="majorHAnsi" w:cstheme="majorHAnsi"/>
                <w:sz w:val="20"/>
                <w:szCs w:val="20"/>
              </w:rPr>
            </w:pPr>
            <w:r w:rsidRPr="00681130">
              <w:rPr>
                <w:rFonts w:asciiTheme="majorHAnsi" w:eastAsia="Calibri" w:hAnsiTheme="majorHAnsi" w:cstheme="majorHAnsi"/>
                <w:sz w:val="20"/>
                <w:szCs w:val="20"/>
              </w:rPr>
              <w:t>1000mg after HD</w:t>
            </w:r>
          </w:p>
        </w:tc>
        <w:tc>
          <w:tcPr>
            <w:tcW w:w="824" w:type="pct"/>
            <w:tcBorders>
              <w:top w:val="single" w:sz="12" w:space="0" w:color="000000"/>
              <w:bottom w:val="single" w:sz="12" w:space="0" w:color="000000"/>
            </w:tcBorders>
          </w:tcPr>
          <w:p w14:paraId="62D82D04" w14:textId="77777777" w:rsidR="002A324C" w:rsidRPr="00681130" w:rsidRDefault="002A324C">
            <w:pPr>
              <w:jc w:val="center"/>
              <w:rPr>
                <w:rFonts w:asciiTheme="majorHAnsi" w:eastAsia="Calibri" w:hAnsiTheme="majorHAnsi" w:cstheme="majorHAnsi"/>
                <w:sz w:val="20"/>
                <w:szCs w:val="20"/>
              </w:rPr>
            </w:pPr>
          </w:p>
          <w:p w14:paraId="1A43EFBC" w14:textId="77777777" w:rsidR="002A324C" w:rsidRPr="00681130" w:rsidRDefault="002A324C">
            <w:pPr>
              <w:jc w:val="center"/>
              <w:rPr>
                <w:rFonts w:asciiTheme="majorHAnsi" w:eastAsia="Calibri" w:hAnsiTheme="majorHAnsi" w:cstheme="majorHAnsi"/>
                <w:sz w:val="20"/>
                <w:szCs w:val="20"/>
              </w:rPr>
            </w:pPr>
          </w:p>
          <w:p w14:paraId="3B50CDBF" w14:textId="77777777" w:rsidR="002A324C" w:rsidRPr="00681130" w:rsidRDefault="002A324C">
            <w:pPr>
              <w:jc w:val="center"/>
              <w:rPr>
                <w:rFonts w:asciiTheme="majorHAnsi" w:eastAsia="Calibri" w:hAnsiTheme="majorHAnsi" w:cstheme="majorHAnsi"/>
                <w:sz w:val="20"/>
                <w:szCs w:val="20"/>
              </w:rPr>
            </w:pPr>
          </w:p>
          <w:p w14:paraId="25F1F90C" w14:textId="77777777" w:rsidR="002A324C" w:rsidRPr="00681130" w:rsidRDefault="002A324C">
            <w:pPr>
              <w:jc w:val="center"/>
              <w:rPr>
                <w:rFonts w:asciiTheme="majorHAnsi" w:eastAsia="Calibri" w:hAnsiTheme="majorHAnsi" w:cstheme="majorHAnsi"/>
                <w:sz w:val="20"/>
                <w:szCs w:val="20"/>
              </w:rPr>
            </w:pPr>
          </w:p>
          <w:p w14:paraId="4EEC00F9" w14:textId="77777777" w:rsidR="002A324C" w:rsidRPr="00681130" w:rsidRDefault="00681130">
            <w:pPr>
              <w:jc w:val="center"/>
              <w:rPr>
                <w:rFonts w:asciiTheme="majorHAnsi" w:eastAsia="Calibri" w:hAnsiTheme="majorHAnsi" w:cstheme="majorHAnsi"/>
                <w:sz w:val="20"/>
                <w:szCs w:val="20"/>
              </w:rPr>
            </w:pPr>
            <w:r w:rsidRPr="00681130">
              <w:rPr>
                <w:rFonts w:asciiTheme="majorHAnsi" w:eastAsia="Calibri" w:hAnsiTheme="majorHAnsi" w:cstheme="majorHAnsi"/>
                <w:sz w:val="20"/>
                <w:szCs w:val="20"/>
              </w:rPr>
              <w:t xml:space="preserve">1250mg </w:t>
            </w:r>
          </w:p>
          <w:p w14:paraId="4EEE3276" w14:textId="77777777" w:rsidR="002A324C" w:rsidRPr="00681130" w:rsidRDefault="00681130">
            <w:pPr>
              <w:jc w:val="center"/>
              <w:rPr>
                <w:rFonts w:asciiTheme="majorHAnsi" w:eastAsia="Calibri" w:hAnsiTheme="majorHAnsi" w:cstheme="majorHAnsi"/>
                <w:sz w:val="20"/>
                <w:szCs w:val="20"/>
              </w:rPr>
            </w:pPr>
            <w:r w:rsidRPr="00681130">
              <w:rPr>
                <w:rFonts w:asciiTheme="majorHAnsi" w:eastAsia="Calibri" w:hAnsiTheme="majorHAnsi" w:cstheme="majorHAnsi"/>
                <w:sz w:val="20"/>
                <w:szCs w:val="20"/>
              </w:rPr>
              <w:t>after HD</w:t>
            </w:r>
          </w:p>
        </w:tc>
        <w:tc>
          <w:tcPr>
            <w:tcW w:w="946" w:type="pct"/>
            <w:tcBorders>
              <w:top w:val="single" w:sz="12" w:space="0" w:color="000000"/>
              <w:bottom w:val="single" w:sz="12" w:space="0" w:color="000000"/>
            </w:tcBorders>
          </w:tcPr>
          <w:p w14:paraId="2312C930" w14:textId="77777777" w:rsidR="002A324C" w:rsidRPr="00681130" w:rsidRDefault="002A324C">
            <w:pPr>
              <w:widowControl w:val="0"/>
              <w:rPr>
                <w:rFonts w:asciiTheme="majorHAnsi" w:eastAsia="Calibri" w:hAnsiTheme="majorHAnsi" w:cstheme="majorHAnsi"/>
                <w:sz w:val="20"/>
                <w:szCs w:val="20"/>
              </w:rPr>
            </w:pPr>
          </w:p>
          <w:tbl>
            <w:tblPr>
              <w:tblStyle w:val="a9"/>
              <w:tblW w:w="1823" w:type="dxa"/>
              <w:tblBorders>
                <w:top w:val="nil"/>
                <w:left w:val="nil"/>
                <w:bottom w:val="nil"/>
                <w:right w:val="nil"/>
                <w:insideH w:val="single" w:sz="4" w:space="0" w:color="808080"/>
                <w:insideV w:val="single" w:sz="4" w:space="0" w:color="808080"/>
              </w:tblBorders>
              <w:tblLook w:val="0400" w:firstRow="0" w:lastRow="0" w:firstColumn="0" w:lastColumn="0" w:noHBand="0" w:noVBand="1"/>
            </w:tblPr>
            <w:tblGrid>
              <w:gridCol w:w="1823"/>
            </w:tblGrid>
            <w:tr w:rsidR="002A324C" w:rsidRPr="00681130" w14:paraId="46019530" w14:textId="77777777" w:rsidTr="00681130">
              <w:tc>
                <w:tcPr>
                  <w:tcW w:w="1823" w:type="dxa"/>
                </w:tcPr>
                <w:p w14:paraId="22BCF4A1"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Cp &lt; 10 mcg/mL</w:t>
                  </w:r>
                </w:p>
              </w:tc>
            </w:tr>
            <w:tr w:rsidR="002A324C" w:rsidRPr="00681130" w14:paraId="361B6A2B" w14:textId="77777777" w:rsidTr="00681130">
              <w:tc>
                <w:tcPr>
                  <w:tcW w:w="1823" w:type="dxa"/>
                </w:tcPr>
                <w:p w14:paraId="45C51DF7"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Cp 10-14.9 mcg/mL</w:t>
                  </w:r>
                </w:p>
              </w:tc>
            </w:tr>
            <w:tr w:rsidR="002A324C" w:rsidRPr="00681130" w14:paraId="1A33BA43" w14:textId="77777777" w:rsidTr="00681130">
              <w:trPr>
                <w:trHeight w:val="70"/>
              </w:trPr>
              <w:tc>
                <w:tcPr>
                  <w:tcW w:w="1823" w:type="dxa"/>
                </w:tcPr>
                <w:p w14:paraId="54C4BA81"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Cp 15-19.9 mcg/mL</w:t>
                  </w:r>
                </w:p>
              </w:tc>
            </w:tr>
            <w:tr w:rsidR="002A324C" w:rsidRPr="00681130" w14:paraId="5C602B9A" w14:textId="77777777" w:rsidTr="00681130">
              <w:tc>
                <w:tcPr>
                  <w:tcW w:w="1823" w:type="dxa"/>
                </w:tcPr>
                <w:p w14:paraId="4D7D562F"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Cp 20-24.9 mcg/mL</w:t>
                  </w:r>
                </w:p>
              </w:tc>
            </w:tr>
            <w:tr w:rsidR="002A324C" w:rsidRPr="00681130" w14:paraId="6D94B3EA" w14:textId="77777777" w:rsidTr="00681130">
              <w:tc>
                <w:tcPr>
                  <w:tcW w:w="1823" w:type="dxa"/>
                </w:tcPr>
                <w:p w14:paraId="7075ADAD"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Cp 25-30 mcg/mL</w:t>
                  </w:r>
                </w:p>
              </w:tc>
            </w:tr>
            <w:tr w:rsidR="002A324C" w:rsidRPr="00681130" w14:paraId="7C016C7C" w14:textId="77777777" w:rsidTr="00681130">
              <w:tc>
                <w:tcPr>
                  <w:tcW w:w="1823" w:type="dxa"/>
                </w:tcPr>
                <w:p w14:paraId="7CC711C3"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Cp &gt;30 mcg/mL</w:t>
                  </w:r>
                </w:p>
              </w:tc>
            </w:tr>
          </w:tbl>
          <w:p w14:paraId="5DABBA9F" w14:textId="77777777" w:rsidR="002A324C" w:rsidRPr="00681130" w:rsidRDefault="002A324C">
            <w:pPr>
              <w:spacing w:after="120"/>
              <w:rPr>
                <w:rFonts w:asciiTheme="majorHAnsi" w:eastAsia="Calibri" w:hAnsiTheme="majorHAnsi" w:cstheme="majorHAnsi"/>
                <w:sz w:val="20"/>
                <w:szCs w:val="20"/>
              </w:rPr>
            </w:pPr>
          </w:p>
        </w:tc>
        <w:tc>
          <w:tcPr>
            <w:tcW w:w="1499" w:type="pct"/>
            <w:tcBorders>
              <w:top w:val="single" w:sz="12" w:space="0" w:color="000000"/>
              <w:bottom w:val="single" w:sz="12" w:space="0" w:color="000000"/>
            </w:tcBorders>
          </w:tcPr>
          <w:p w14:paraId="20233D0E" w14:textId="77777777" w:rsidR="002A324C" w:rsidRPr="00681130" w:rsidRDefault="002A324C">
            <w:pPr>
              <w:widowControl w:val="0"/>
              <w:rPr>
                <w:rFonts w:asciiTheme="majorHAnsi" w:eastAsia="Calibri" w:hAnsiTheme="majorHAnsi" w:cstheme="majorHAnsi"/>
                <w:sz w:val="20"/>
                <w:szCs w:val="20"/>
              </w:rPr>
            </w:pPr>
          </w:p>
          <w:tbl>
            <w:tblPr>
              <w:tblStyle w:val="aa"/>
              <w:tblW w:w="2714" w:type="dxa"/>
              <w:tblBorders>
                <w:top w:val="nil"/>
                <w:left w:val="nil"/>
                <w:bottom w:val="nil"/>
                <w:right w:val="nil"/>
                <w:insideH w:val="single" w:sz="4" w:space="0" w:color="808080"/>
                <w:insideV w:val="single" w:sz="4" w:space="0" w:color="808080"/>
              </w:tblBorders>
              <w:tblLook w:val="0400" w:firstRow="0" w:lastRow="0" w:firstColumn="0" w:lastColumn="0" w:noHBand="0" w:noVBand="1"/>
            </w:tblPr>
            <w:tblGrid>
              <w:gridCol w:w="2714"/>
            </w:tblGrid>
            <w:tr w:rsidR="002A324C" w:rsidRPr="00681130" w14:paraId="68021E81" w14:textId="77777777" w:rsidTr="00681130">
              <w:trPr>
                <w:trHeight w:val="262"/>
              </w:trPr>
              <w:tc>
                <w:tcPr>
                  <w:tcW w:w="2714" w:type="dxa"/>
                </w:tcPr>
                <w:p w14:paraId="02EA0D05"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1250mg after each HD</w:t>
                  </w:r>
                </w:p>
              </w:tc>
            </w:tr>
            <w:tr w:rsidR="002A324C" w:rsidRPr="00681130" w14:paraId="5A95ADE1" w14:textId="77777777" w:rsidTr="00681130">
              <w:trPr>
                <w:trHeight w:val="262"/>
              </w:trPr>
              <w:tc>
                <w:tcPr>
                  <w:tcW w:w="2714" w:type="dxa"/>
                </w:tcPr>
                <w:p w14:paraId="345922B8"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1250mg after each HD</w:t>
                  </w:r>
                </w:p>
              </w:tc>
            </w:tr>
            <w:tr w:rsidR="002A324C" w:rsidRPr="00681130" w14:paraId="1BA2D578" w14:textId="77777777" w:rsidTr="00681130">
              <w:trPr>
                <w:trHeight w:val="262"/>
              </w:trPr>
              <w:tc>
                <w:tcPr>
                  <w:tcW w:w="2714" w:type="dxa"/>
                </w:tcPr>
                <w:p w14:paraId="3B3C840E"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Continue current MD regimen</w:t>
                  </w:r>
                </w:p>
              </w:tc>
            </w:tr>
            <w:tr w:rsidR="002A324C" w:rsidRPr="00681130" w14:paraId="5AF5756E" w14:textId="77777777" w:rsidTr="00681130">
              <w:trPr>
                <w:trHeight w:val="262"/>
              </w:trPr>
              <w:tc>
                <w:tcPr>
                  <w:tcW w:w="2714" w:type="dxa"/>
                </w:tcPr>
                <w:p w14:paraId="50E421E7"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Continue current MD regimen</w:t>
                  </w:r>
                </w:p>
              </w:tc>
            </w:tr>
            <w:tr w:rsidR="002A324C" w:rsidRPr="00681130" w14:paraId="3EF82C36" w14:textId="77777777" w:rsidTr="00681130">
              <w:trPr>
                <w:trHeight w:val="262"/>
              </w:trPr>
              <w:tc>
                <w:tcPr>
                  <w:tcW w:w="2714" w:type="dxa"/>
                </w:tcPr>
                <w:p w14:paraId="15A6E6FD"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Decrease dose by 250mg</w:t>
                  </w:r>
                </w:p>
              </w:tc>
            </w:tr>
            <w:tr w:rsidR="002A324C" w:rsidRPr="00681130" w14:paraId="099A4168" w14:textId="77777777" w:rsidTr="00681130">
              <w:trPr>
                <w:trHeight w:val="262"/>
              </w:trPr>
              <w:tc>
                <w:tcPr>
                  <w:tcW w:w="2714" w:type="dxa"/>
                </w:tcPr>
                <w:p w14:paraId="51C4E537" w14:textId="77777777" w:rsidR="002A324C" w:rsidRPr="00681130" w:rsidRDefault="00681130">
                  <w:pPr>
                    <w:spacing w:after="120"/>
                    <w:rPr>
                      <w:rFonts w:asciiTheme="majorHAnsi" w:eastAsia="Calibri" w:hAnsiTheme="majorHAnsi" w:cstheme="majorHAnsi"/>
                      <w:sz w:val="20"/>
                      <w:szCs w:val="20"/>
                    </w:rPr>
                  </w:pPr>
                  <w:r w:rsidRPr="00681130">
                    <w:rPr>
                      <w:rFonts w:asciiTheme="majorHAnsi" w:eastAsia="Calibri" w:hAnsiTheme="majorHAnsi" w:cstheme="majorHAnsi"/>
                      <w:sz w:val="20"/>
                      <w:szCs w:val="20"/>
                    </w:rPr>
                    <w:t xml:space="preserve">Hold Vancomycin </w:t>
                  </w:r>
                </w:p>
              </w:tc>
            </w:tr>
          </w:tbl>
          <w:p w14:paraId="7DCBDEC3" w14:textId="77777777" w:rsidR="002A324C" w:rsidRPr="00681130" w:rsidRDefault="002A324C">
            <w:pPr>
              <w:spacing w:after="120"/>
              <w:rPr>
                <w:rFonts w:asciiTheme="majorHAnsi" w:eastAsia="Calibri" w:hAnsiTheme="majorHAnsi" w:cstheme="majorHAnsi"/>
                <w:sz w:val="20"/>
                <w:szCs w:val="20"/>
              </w:rPr>
            </w:pPr>
          </w:p>
        </w:tc>
      </w:tr>
    </w:tbl>
    <w:p w14:paraId="2DA8B65B" w14:textId="3B8F8197" w:rsidR="002A324C" w:rsidRPr="001F5BE7" w:rsidRDefault="00681130" w:rsidP="00681130">
      <w:pPr>
        <w:spacing w:line="240" w:lineRule="auto"/>
        <w:rPr>
          <w:rFonts w:asciiTheme="majorHAnsi" w:eastAsia="Calibri" w:hAnsiTheme="majorHAnsi" w:cstheme="majorHAnsi"/>
          <w:i/>
        </w:rPr>
      </w:pPr>
      <w:r w:rsidRPr="001F5BE7">
        <w:rPr>
          <w:rFonts w:asciiTheme="majorHAnsi" w:eastAsia="Calibri" w:hAnsiTheme="majorHAnsi" w:cstheme="majorHAnsi"/>
          <w:i/>
        </w:rPr>
        <w:lastRenderedPageBreak/>
        <w:t>^ if loading dose given on a non-HD day, check a random level with morning labs on the subsequent day of HD and administer a supplemental 500 mg dose post-HD if level &lt;24.9; then proceed with above maintenance dosing on next regularly scheduled HD day.</w:t>
      </w:r>
    </w:p>
    <w:p w14:paraId="3C688B77" w14:textId="77777777" w:rsidR="002A324C" w:rsidRPr="005F3EFC" w:rsidRDefault="002A324C">
      <w:pPr>
        <w:tabs>
          <w:tab w:val="left" w:pos="6480"/>
        </w:tabs>
        <w:ind w:left="360"/>
        <w:rPr>
          <w:rFonts w:asciiTheme="majorHAnsi" w:eastAsia="Calibri" w:hAnsiTheme="majorHAnsi" w:cstheme="majorHAnsi"/>
          <w:i/>
        </w:rPr>
      </w:pPr>
    </w:p>
    <w:p w14:paraId="11BB15DF" w14:textId="77777777" w:rsidR="002A324C" w:rsidRPr="005F3EFC" w:rsidRDefault="00681130">
      <w:pPr>
        <w:tabs>
          <w:tab w:val="left" w:pos="6480"/>
        </w:tabs>
        <w:rPr>
          <w:rFonts w:asciiTheme="majorHAnsi" w:eastAsia="Calibri" w:hAnsiTheme="majorHAnsi" w:cstheme="majorHAnsi"/>
          <w:i/>
        </w:rPr>
      </w:pPr>
      <w:r w:rsidRPr="005F3EFC">
        <w:rPr>
          <w:rFonts w:asciiTheme="majorHAnsi" w:eastAsia="Calibri" w:hAnsiTheme="majorHAnsi" w:cstheme="majorHAnsi"/>
          <w:i/>
        </w:rPr>
        <w:t>Peritoneal dialysis (PD)</w:t>
      </w:r>
    </w:p>
    <w:p w14:paraId="5142C3FC" w14:textId="77777777" w:rsidR="002A324C" w:rsidRPr="005F3EFC" w:rsidRDefault="00681130">
      <w:pPr>
        <w:numPr>
          <w:ilvl w:val="0"/>
          <w:numId w:val="1"/>
        </w:numPr>
        <w:tabs>
          <w:tab w:val="left" w:pos="6480"/>
        </w:tabs>
        <w:rPr>
          <w:rFonts w:asciiTheme="majorHAnsi" w:eastAsia="Calibri" w:hAnsiTheme="majorHAnsi" w:cstheme="majorHAnsi"/>
        </w:rPr>
      </w:pPr>
      <w:r w:rsidRPr="005F3EFC">
        <w:rPr>
          <w:rFonts w:asciiTheme="majorHAnsi" w:eastAsia="Calibri" w:hAnsiTheme="majorHAnsi" w:cstheme="majorHAnsi"/>
        </w:rPr>
        <w:t xml:space="preserve">15-20 mg/kg IV once to twice per week is usually adequate.  </w:t>
      </w:r>
    </w:p>
    <w:p w14:paraId="09656853" w14:textId="77777777" w:rsidR="002A324C" w:rsidRPr="005F3EFC" w:rsidRDefault="00681130">
      <w:pPr>
        <w:numPr>
          <w:ilvl w:val="0"/>
          <w:numId w:val="1"/>
        </w:numPr>
        <w:tabs>
          <w:tab w:val="left" w:pos="6480"/>
        </w:tabs>
        <w:rPr>
          <w:rFonts w:asciiTheme="majorHAnsi" w:eastAsia="Calibri" w:hAnsiTheme="majorHAnsi" w:cstheme="majorHAnsi"/>
        </w:rPr>
      </w:pPr>
      <w:r w:rsidRPr="005F3EFC">
        <w:rPr>
          <w:rFonts w:asciiTheme="majorHAnsi" w:eastAsia="Calibri" w:hAnsiTheme="majorHAnsi" w:cstheme="majorHAnsi"/>
        </w:rPr>
        <w:t>Serum concentrations should be checked with am labs 24-48 hours after the first dose to ensure patient was adequately loaded, and patients should be re-dosed when C</w:t>
      </w:r>
      <w:r w:rsidRPr="005F3EFC">
        <w:rPr>
          <w:rFonts w:asciiTheme="majorHAnsi" w:eastAsia="Calibri" w:hAnsiTheme="majorHAnsi" w:cstheme="majorHAnsi"/>
          <w:vertAlign w:val="subscript"/>
        </w:rPr>
        <w:t>min</w:t>
      </w:r>
      <w:r w:rsidRPr="005F3EFC">
        <w:rPr>
          <w:rFonts w:asciiTheme="majorHAnsi" w:eastAsia="Calibri" w:hAnsiTheme="majorHAnsi" w:cstheme="majorHAnsi"/>
        </w:rPr>
        <w:t xml:space="preserve"> &lt;15-20 mcg/mL.</w:t>
      </w:r>
    </w:p>
    <w:p w14:paraId="12600076" w14:textId="77777777" w:rsidR="002A324C" w:rsidRPr="005F3EFC" w:rsidRDefault="002A324C">
      <w:pPr>
        <w:tabs>
          <w:tab w:val="left" w:pos="6480"/>
        </w:tabs>
        <w:ind w:left="720"/>
        <w:rPr>
          <w:rFonts w:asciiTheme="majorHAnsi" w:eastAsia="Calibri" w:hAnsiTheme="majorHAnsi" w:cstheme="majorHAnsi"/>
        </w:rPr>
      </w:pPr>
    </w:p>
    <w:p w14:paraId="78B4B61C" w14:textId="77777777" w:rsidR="002A324C" w:rsidRPr="005F3EFC" w:rsidRDefault="00681130" w:rsidP="00681130">
      <w:pPr>
        <w:rPr>
          <w:rFonts w:asciiTheme="majorHAnsi" w:hAnsiTheme="majorHAnsi" w:cstheme="majorHAnsi"/>
        </w:rPr>
      </w:pPr>
      <w:r w:rsidRPr="00681130">
        <w:rPr>
          <w:rFonts w:asciiTheme="majorHAnsi" w:hAnsiTheme="majorHAnsi" w:cstheme="majorHAnsi"/>
          <w:i/>
          <w:iCs/>
        </w:rPr>
        <w:t>Continuous Renal Replacement Therapy (CRRT</w:t>
      </w:r>
      <w:r w:rsidRPr="005F3EFC">
        <w:rPr>
          <w:rFonts w:asciiTheme="majorHAnsi" w:hAnsiTheme="majorHAnsi" w:cstheme="majorHAnsi"/>
        </w:rPr>
        <w:t>)</w:t>
      </w:r>
    </w:p>
    <w:p w14:paraId="47BB54B8" w14:textId="77777777" w:rsidR="002A324C" w:rsidRPr="005F3EFC" w:rsidRDefault="00681130" w:rsidP="00681130">
      <w:pPr>
        <w:numPr>
          <w:ilvl w:val="2"/>
          <w:numId w:val="13"/>
        </w:numPr>
        <w:ind w:left="360"/>
        <w:rPr>
          <w:rFonts w:asciiTheme="majorHAnsi" w:hAnsiTheme="majorHAnsi" w:cstheme="majorHAnsi"/>
        </w:rPr>
      </w:pPr>
      <w:r w:rsidRPr="005F3EFC">
        <w:rPr>
          <w:rFonts w:asciiTheme="majorHAnsi" w:eastAsia="Times New Roman" w:hAnsiTheme="majorHAnsi" w:cstheme="majorHAnsi"/>
        </w:rPr>
        <w:t>Loading dose: 20-25 mg/kg</w:t>
      </w:r>
    </w:p>
    <w:p w14:paraId="78ADFD1E" w14:textId="77777777" w:rsidR="002A324C" w:rsidRPr="005F3EFC" w:rsidRDefault="00681130" w:rsidP="00681130">
      <w:pPr>
        <w:numPr>
          <w:ilvl w:val="2"/>
          <w:numId w:val="13"/>
        </w:numPr>
        <w:ind w:left="360"/>
        <w:rPr>
          <w:rFonts w:asciiTheme="majorHAnsi" w:hAnsiTheme="majorHAnsi" w:cstheme="majorHAnsi"/>
        </w:rPr>
      </w:pPr>
      <w:r w:rsidRPr="005F3EFC">
        <w:rPr>
          <w:rFonts w:asciiTheme="majorHAnsi" w:eastAsia="Times New Roman" w:hAnsiTheme="majorHAnsi" w:cstheme="majorHAnsi"/>
        </w:rPr>
        <w:t xml:space="preserve">Vancomycin dose is based on the effluent flow rate or estimated CrCL. It is recommended to dose based on random levels until patient is on a stable CRRT rate. </w:t>
      </w:r>
      <w:r w:rsidRPr="005F3EFC">
        <w:rPr>
          <w:rFonts w:asciiTheme="majorHAnsi" w:hAnsiTheme="majorHAnsi" w:cstheme="majorHAnsi"/>
        </w:rPr>
        <w:t>CRRT factors that may warrant evaluation of a random concentration due to changes in drug removal:</w:t>
      </w:r>
    </w:p>
    <w:p w14:paraId="45D465C7" w14:textId="77777777" w:rsidR="002A324C" w:rsidRPr="005F3EFC" w:rsidRDefault="00681130" w:rsidP="00681130">
      <w:pPr>
        <w:numPr>
          <w:ilvl w:val="3"/>
          <w:numId w:val="13"/>
        </w:numPr>
        <w:ind w:left="1080"/>
        <w:rPr>
          <w:rFonts w:asciiTheme="majorHAnsi" w:hAnsiTheme="majorHAnsi" w:cstheme="majorHAnsi"/>
        </w:rPr>
      </w:pPr>
      <w:r w:rsidRPr="005F3EFC">
        <w:rPr>
          <w:rFonts w:asciiTheme="majorHAnsi" w:hAnsiTheme="majorHAnsi" w:cstheme="majorHAnsi"/>
        </w:rPr>
        <w:t>Abrupt CRRT initiation, interruption, or discontinuation</w:t>
      </w:r>
    </w:p>
    <w:p w14:paraId="00516321" w14:textId="77777777" w:rsidR="002A324C" w:rsidRPr="005F3EFC" w:rsidRDefault="00681130" w:rsidP="00681130">
      <w:pPr>
        <w:numPr>
          <w:ilvl w:val="3"/>
          <w:numId w:val="13"/>
        </w:numPr>
        <w:ind w:left="1080"/>
        <w:rPr>
          <w:rFonts w:asciiTheme="majorHAnsi" w:hAnsiTheme="majorHAnsi" w:cstheme="majorHAnsi"/>
        </w:rPr>
      </w:pPr>
      <w:r w:rsidRPr="005F3EFC">
        <w:rPr>
          <w:rFonts w:asciiTheme="majorHAnsi" w:hAnsiTheme="majorHAnsi" w:cstheme="majorHAnsi"/>
        </w:rPr>
        <w:t>Changes in ultrafiltration rate</w:t>
      </w:r>
    </w:p>
    <w:p w14:paraId="4D54A8AD" w14:textId="77777777" w:rsidR="002A324C" w:rsidRPr="005F3EFC" w:rsidRDefault="00681130" w:rsidP="00681130">
      <w:pPr>
        <w:numPr>
          <w:ilvl w:val="3"/>
          <w:numId w:val="13"/>
        </w:numPr>
        <w:ind w:left="1080"/>
        <w:rPr>
          <w:rFonts w:asciiTheme="majorHAnsi" w:hAnsiTheme="majorHAnsi" w:cstheme="majorHAnsi"/>
        </w:rPr>
      </w:pPr>
      <w:r w:rsidRPr="005F3EFC">
        <w:rPr>
          <w:rFonts w:asciiTheme="majorHAnsi" w:hAnsiTheme="majorHAnsi" w:cstheme="majorHAnsi"/>
        </w:rPr>
        <w:t>Alterations in residual patient renal function</w:t>
      </w:r>
    </w:p>
    <w:p w14:paraId="39D2F3DB" w14:textId="77777777" w:rsidR="002A324C" w:rsidRPr="005F3EFC" w:rsidRDefault="002A324C" w:rsidP="00681130">
      <w:pPr>
        <w:rPr>
          <w:rFonts w:asciiTheme="majorHAnsi" w:eastAsia="Times New Roman" w:hAnsiTheme="majorHAnsi" w:cstheme="majorHAnsi"/>
        </w:rPr>
      </w:pPr>
    </w:p>
    <w:p w14:paraId="6CE1DFE3" w14:textId="618A2957" w:rsidR="002A324C" w:rsidRPr="00681130" w:rsidRDefault="00681130" w:rsidP="00681130">
      <w:pPr>
        <w:numPr>
          <w:ilvl w:val="2"/>
          <w:numId w:val="13"/>
        </w:numPr>
        <w:ind w:left="360"/>
        <w:rPr>
          <w:rFonts w:asciiTheme="majorHAnsi" w:hAnsiTheme="majorHAnsi" w:cstheme="majorHAnsi"/>
        </w:rPr>
      </w:pPr>
      <w:r w:rsidRPr="005F3EFC">
        <w:rPr>
          <w:rFonts w:asciiTheme="majorHAnsi" w:eastAsia="Times New Roman" w:hAnsiTheme="majorHAnsi" w:cstheme="majorHAnsi"/>
        </w:rPr>
        <w:t>Consider TDM at 12 or 24 hours to assess clearance and target attainment.</w:t>
      </w:r>
    </w:p>
    <w:tbl>
      <w:tblPr>
        <w:tblStyle w:val="TableGrid"/>
        <w:tblW w:w="0" w:type="auto"/>
        <w:tblLook w:val="04A0" w:firstRow="1" w:lastRow="0" w:firstColumn="1" w:lastColumn="0" w:noHBand="0" w:noVBand="1"/>
      </w:tblPr>
      <w:tblGrid>
        <w:gridCol w:w="3116"/>
        <w:gridCol w:w="3117"/>
        <w:gridCol w:w="3117"/>
      </w:tblGrid>
      <w:tr w:rsidR="00681130" w14:paraId="2EF45FF7" w14:textId="77777777" w:rsidTr="00681130">
        <w:tc>
          <w:tcPr>
            <w:tcW w:w="3116" w:type="dxa"/>
          </w:tcPr>
          <w:p w14:paraId="5AC435C6" w14:textId="2DD532B8" w:rsidR="00681130" w:rsidRDefault="00681130" w:rsidP="00681130">
            <w:pPr>
              <w:rPr>
                <w:rFonts w:asciiTheme="majorHAnsi" w:hAnsiTheme="majorHAnsi" w:cstheme="majorHAnsi"/>
              </w:rPr>
            </w:pPr>
            <w:r>
              <w:rPr>
                <w:rFonts w:asciiTheme="majorHAnsi" w:hAnsiTheme="majorHAnsi" w:cstheme="majorHAnsi"/>
              </w:rPr>
              <w:t>Effluent Flow Rate</w:t>
            </w:r>
          </w:p>
        </w:tc>
        <w:tc>
          <w:tcPr>
            <w:tcW w:w="3117" w:type="dxa"/>
          </w:tcPr>
          <w:p w14:paraId="344FD382" w14:textId="288C0641" w:rsidR="00681130" w:rsidRDefault="00681130" w:rsidP="00681130">
            <w:pPr>
              <w:rPr>
                <w:rFonts w:asciiTheme="majorHAnsi" w:hAnsiTheme="majorHAnsi" w:cstheme="majorHAnsi"/>
              </w:rPr>
            </w:pPr>
            <w:r>
              <w:rPr>
                <w:rFonts w:asciiTheme="majorHAnsi" w:hAnsiTheme="majorHAnsi" w:cstheme="majorHAnsi"/>
              </w:rPr>
              <w:t>Estimated CrCL</w:t>
            </w:r>
          </w:p>
        </w:tc>
        <w:tc>
          <w:tcPr>
            <w:tcW w:w="3117" w:type="dxa"/>
          </w:tcPr>
          <w:p w14:paraId="7571EF40" w14:textId="1559A5CE" w:rsidR="00681130" w:rsidRDefault="00681130" w:rsidP="00681130">
            <w:pPr>
              <w:rPr>
                <w:rFonts w:asciiTheme="majorHAnsi" w:hAnsiTheme="majorHAnsi" w:cstheme="majorHAnsi"/>
              </w:rPr>
            </w:pPr>
            <w:r>
              <w:rPr>
                <w:rFonts w:asciiTheme="majorHAnsi" w:hAnsiTheme="majorHAnsi" w:cstheme="majorHAnsi"/>
              </w:rPr>
              <w:t>Dose Recommendations</w:t>
            </w:r>
          </w:p>
        </w:tc>
      </w:tr>
      <w:tr w:rsidR="00681130" w14:paraId="18902BB0" w14:textId="77777777" w:rsidTr="00681130">
        <w:tc>
          <w:tcPr>
            <w:tcW w:w="3116" w:type="dxa"/>
          </w:tcPr>
          <w:p w14:paraId="701247FE" w14:textId="3FDDBF1D" w:rsidR="00681130" w:rsidRDefault="00681130" w:rsidP="00681130">
            <w:pPr>
              <w:rPr>
                <w:rFonts w:asciiTheme="majorHAnsi" w:hAnsiTheme="majorHAnsi" w:cstheme="majorHAnsi"/>
              </w:rPr>
            </w:pPr>
            <w:r>
              <w:rPr>
                <w:rFonts w:asciiTheme="majorHAnsi" w:hAnsiTheme="majorHAnsi" w:cstheme="majorHAnsi"/>
              </w:rPr>
              <w:t>&lt;1500 mL/hr</w:t>
            </w:r>
          </w:p>
        </w:tc>
        <w:tc>
          <w:tcPr>
            <w:tcW w:w="3117" w:type="dxa"/>
          </w:tcPr>
          <w:p w14:paraId="0860BD22" w14:textId="7A9DF79A" w:rsidR="00681130" w:rsidRDefault="00681130" w:rsidP="00681130">
            <w:pPr>
              <w:rPr>
                <w:rFonts w:asciiTheme="majorHAnsi" w:hAnsiTheme="majorHAnsi" w:cstheme="majorHAnsi"/>
              </w:rPr>
            </w:pPr>
            <w:r>
              <w:rPr>
                <w:rFonts w:asciiTheme="majorHAnsi" w:hAnsiTheme="majorHAnsi" w:cstheme="majorHAnsi"/>
              </w:rPr>
              <w:t>&lt;30</w:t>
            </w:r>
          </w:p>
        </w:tc>
        <w:tc>
          <w:tcPr>
            <w:tcW w:w="3117" w:type="dxa"/>
          </w:tcPr>
          <w:p w14:paraId="02447D86" w14:textId="0F7F2BC9" w:rsidR="00681130" w:rsidRDefault="00681130" w:rsidP="00681130">
            <w:pPr>
              <w:rPr>
                <w:rFonts w:asciiTheme="majorHAnsi" w:hAnsiTheme="majorHAnsi" w:cstheme="majorHAnsi"/>
              </w:rPr>
            </w:pPr>
            <w:r>
              <w:rPr>
                <w:rFonts w:asciiTheme="majorHAnsi" w:hAnsiTheme="majorHAnsi" w:cstheme="majorHAnsi"/>
              </w:rPr>
              <w:t>7.5-10 mg/kg IV q24h OR dose by random level</w:t>
            </w:r>
          </w:p>
        </w:tc>
      </w:tr>
      <w:tr w:rsidR="00681130" w14:paraId="0569FABA" w14:textId="77777777" w:rsidTr="00681130">
        <w:tc>
          <w:tcPr>
            <w:tcW w:w="3116" w:type="dxa"/>
          </w:tcPr>
          <w:p w14:paraId="6DE8C6A5" w14:textId="40CE038D" w:rsidR="00681130" w:rsidRDefault="00681130" w:rsidP="00681130">
            <w:pPr>
              <w:rPr>
                <w:rFonts w:asciiTheme="majorHAnsi" w:hAnsiTheme="majorHAnsi" w:cstheme="majorHAnsi"/>
              </w:rPr>
            </w:pPr>
            <w:r>
              <w:rPr>
                <w:rFonts w:asciiTheme="majorHAnsi" w:hAnsiTheme="majorHAnsi" w:cstheme="majorHAnsi"/>
              </w:rPr>
              <w:t>1500-3000 mL/hr</w:t>
            </w:r>
          </w:p>
        </w:tc>
        <w:tc>
          <w:tcPr>
            <w:tcW w:w="3117" w:type="dxa"/>
          </w:tcPr>
          <w:p w14:paraId="16199244" w14:textId="1C6CCE0A" w:rsidR="00681130" w:rsidRDefault="00681130" w:rsidP="00681130">
            <w:pPr>
              <w:rPr>
                <w:rFonts w:asciiTheme="majorHAnsi" w:hAnsiTheme="majorHAnsi" w:cstheme="majorHAnsi"/>
              </w:rPr>
            </w:pPr>
            <w:r>
              <w:rPr>
                <w:rFonts w:asciiTheme="majorHAnsi" w:hAnsiTheme="majorHAnsi" w:cstheme="majorHAnsi"/>
              </w:rPr>
              <w:t>30-50</w:t>
            </w:r>
          </w:p>
        </w:tc>
        <w:tc>
          <w:tcPr>
            <w:tcW w:w="3117" w:type="dxa"/>
          </w:tcPr>
          <w:p w14:paraId="6E0D0AF3" w14:textId="163C097F" w:rsidR="00681130" w:rsidRDefault="00681130" w:rsidP="00681130">
            <w:pPr>
              <w:rPr>
                <w:rFonts w:asciiTheme="majorHAnsi" w:hAnsiTheme="majorHAnsi" w:cstheme="majorHAnsi"/>
              </w:rPr>
            </w:pPr>
            <w:r>
              <w:rPr>
                <w:rFonts w:asciiTheme="majorHAnsi" w:hAnsiTheme="majorHAnsi" w:cstheme="majorHAnsi"/>
              </w:rPr>
              <w:t>10-15 mg/kg IV q24h</w:t>
            </w:r>
          </w:p>
        </w:tc>
      </w:tr>
      <w:tr w:rsidR="00681130" w14:paraId="6F7F3A11" w14:textId="77777777" w:rsidTr="00681130">
        <w:tc>
          <w:tcPr>
            <w:tcW w:w="3116" w:type="dxa"/>
          </w:tcPr>
          <w:p w14:paraId="4DC45B28" w14:textId="0365B449" w:rsidR="00681130" w:rsidRDefault="00681130" w:rsidP="00681130">
            <w:pPr>
              <w:rPr>
                <w:rFonts w:asciiTheme="majorHAnsi" w:hAnsiTheme="majorHAnsi" w:cstheme="majorHAnsi"/>
              </w:rPr>
            </w:pPr>
            <w:r>
              <w:rPr>
                <w:rFonts w:asciiTheme="majorHAnsi" w:hAnsiTheme="majorHAnsi" w:cstheme="majorHAnsi"/>
              </w:rPr>
              <w:t>&gt;3000 mL/hr</w:t>
            </w:r>
          </w:p>
        </w:tc>
        <w:tc>
          <w:tcPr>
            <w:tcW w:w="3117" w:type="dxa"/>
          </w:tcPr>
          <w:p w14:paraId="00E9E01B" w14:textId="5708AC2D" w:rsidR="00681130" w:rsidRDefault="00681130" w:rsidP="00681130">
            <w:pPr>
              <w:rPr>
                <w:rFonts w:asciiTheme="majorHAnsi" w:hAnsiTheme="majorHAnsi" w:cstheme="majorHAnsi"/>
              </w:rPr>
            </w:pPr>
            <w:r>
              <w:rPr>
                <w:rFonts w:asciiTheme="majorHAnsi" w:hAnsiTheme="majorHAnsi" w:cstheme="majorHAnsi"/>
              </w:rPr>
              <w:t>&gt;50</w:t>
            </w:r>
          </w:p>
        </w:tc>
        <w:tc>
          <w:tcPr>
            <w:tcW w:w="3117" w:type="dxa"/>
          </w:tcPr>
          <w:p w14:paraId="274725BB" w14:textId="3909F40D" w:rsidR="00681130" w:rsidRDefault="00681130" w:rsidP="00681130">
            <w:pPr>
              <w:rPr>
                <w:rFonts w:asciiTheme="majorHAnsi" w:hAnsiTheme="majorHAnsi" w:cstheme="majorHAnsi"/>
              </w:rPr>
            </w:pPr>
            <w:r>
              <w:rPr>
                <w:rFonts w:asciiTheme="majorHAnsi" w:hAnsiTheme="majorHAnsi" w:cstheme="majorHAnsi"/>
              </w:rPr>
              <w:t>7.5-10 mg/kg IV q12h</w:t>
            </w:r>
          </w:p>
        </w:tc>
      </w:tr>
    </w:tbl>
    <w:p w14:paraId="0C60EBF7" w14:textId="77777777" w:rsidR="00681130" w:rsidRPr="005F3EFC" w:rsidRDefault="00681130" w:rsidP="00681130">
      <w:pPr>
        <w:rPr>
          <w:rFonts w:asciiTheme="majorHAnsi" w:hAnsiTheme="majorHAnsi" w:cstheme="majorHAnsi"/>
        </w:rPr>
      </w:pPr>
    </w:p>
    <w:p w14:paraId="7467E881" w14:textId="77777777" w:rsidR="002A324C" w:rsidRPr="005F3EFC" w:rsidRDefault="002A324C" w:rsidP="00681130">
      <w:pPr>
        <w:rPr>
          <w:rFonts w:asciiTheme="majorHAnsi" w:hAnsiTheme="majorHAnsi" w:cstheme="majorHAnsi"/>
        </w:rPr>
      </w:pPr>
    </w:p>
    <w:p w14:paraId="514FA29C" w14:textId="6FD016C6" w:rsidR="002A324C" w:rsidRPr="00681130" w:rsidRDefault="00681130" w:rsidP="00681130">
      <w:pPr>
        <w:rPr>
          <w:rFonts w:asciiTheme="majorHAnsi" w:hAnsiTheme="majorHAnsi" w:cstheme="majorHAnsi"/>
          <w:i/>
          <w:iCs/>
        </w:rPr>
      </w:pPr>
      <w:r w:rsidRPr="00681130">
        <w:rPr>
          <w:rFonts w:asciiTheme="majorHAnsi" w:hAnsiTheme="majorHAnsi" w:cstheme="majorHAnsi"/>
          <w:i/>
          <w:iCs/>
        </w:rPr>
        <w:t>Dosing by random levels (e.g., for acute kidney injury)</w:t>
      </w:r>
    </w:p>
    <w:p w14:paraId="771E1D59" w14:textId="77777777" w:rsidR="002A324C" w:rsidRPr="005F3EFC" w:rsidRDefault="00681130" w:rsidP="00681130">
      <w:pPr>
        <w:numPr>
          <w:ilvl w:val="0"/>
          <w:numId w:val="1"/>
        </w:numPr>
        <w:rPr>
          <w:rFonts w:asciiTheme="majorHAnsi" w:hAnsiTheme="majorHAnsi" w:cstheme="majorHAnsi"/>
        </w:rPr>
      </w:pPr>
      <w:r w:rsidRPr="005F3EFC">
        <w:rPr>
          <w:rFonts w:asciiTheme="majorHAnsi" w:eastAsia="Times New Roman" w:hAnsiTheme="majorHAnsi" w:cstheme="majorHAnsi"/>
        </w:rPr>
        <w:t xml:space="preserve">Vancomycin clearance is dramatically decreased and unpredictable in patients with AKI. Population-based PK equations used in calculators will not accurately predict the elimination rate (Ke). </w:t>
      </w:r>
    </w:p>
    <w:p w14:paraId="5958E800" w14:textId="77777777" w:rsidR="002A324C" w:rsidRPr="005F3EFC" w:rsidRDefault="00681130" w:rsidP="00681130">
      <w:pPr>
        <w:numPr>
          <w:ilvl w:val="0"/>
          <w:numId w:val="1"/>
        </w:numPr>
        <w:rPr>
          <w:rFonts w:asciiTheme="majorHAnsi" w:hAnsiTheme="majorHAnsi" w:cstheme="majorHAnsi"/>
        </w:rPr>
      </w:pPr>
      <w:r w:rsidRPr="005F3EFC">
        <w:rPr>
          <w:rFonts w:asciiTheme="majorHAnsi" w:eastAsia="Times New Roman" w:hAnsiTheme="majorHAnsi" w:cstheme="majorHAnsi"/>
        </w:rPr>
        <w:t>Dosing based on random levels should be considered with hemodynamic instability, shock, decreased urine output, significant changes in CrCL/SCr, and/or new or increasing vasopressor dosing requirements.</w:t>
      </w:r>
    </w:p>
    <w:p w14:paraId="42C92DD4" w14:textId="77777777" w:rsidR="002A324C" w:rsidRPr="005F3EFC" w:rsidRDefault="00681130" w:rsidP="00681130">
      <w:pPr>
        <w:numPr>
          <w:ilvl w:val="0"/>
          <w:numId w:val="1"/>
        </w:numPr>
        <w:rPr>
          <w:rFonts w:asciiTheme="majorHAnsi" w:hAnsiTheme="majorHAnsi" w:cstheme="majorHAnsi"/>
        </w:rPr>
      </w:pPr>
      <w:r w:rsidRPr="005F3EFC">
        <w:rPr>
          <w:rFonts w:asciiTheme="majorHAnsi" w:eastAsia="Times New Roman" w:hAnsiTheme="majorHAnsi" w:cstheme="majorHAnsi"/>
        </w:rPr>
        <w:t>A random level will be required after 1-2 doses (including LD). This level, along with daily SCr changes, will provide guidance to subsequent maintenance dosing. Levels should be ordered based on estimated half-life.</w:t>
      </w:r>
    </w:p>
    <w:p w14:paraId="3AEFF216" w14:textId="77777777" w:rsidR="002A324C" w:rsidRPr="005F3EFC" w:rsidRDefault="00681130" w:rsidP="00681130">
      <w:pPr>
        <w:numPr>
          <w:ilvl w:val="0"/>
          <w:numId w:val="1"/>
        </w:numPr>
        <w:rPr>
          <w:rFonts w:asciiTheme="majorHAnsi" w:hAnsiTheme="majorHAnsi" w:cstheme="majorHAnsi"/>
        </w:rPr>
      </w:pPr>
      <w:r w:rsidRPr="005F3EFC">
        <w:rPr>
          <w:rFonts w:asciiTheme="majorHAnsi" w:eastAsia="Times New Roman" w:hAnsiTheme="majorHAnsi" w:cstheme="majorHAnsi"/>
        </w:rPr>
        <w:t>Once SCr and CrCl have stabilized (e.g. no more than 20% variability day to day in SCr), then a final maintenance regimen can be recalculated.</w:t>
      </w:r>
    </w:p>
    <w:p w14:paraId="22270831" w14:textId="77777777" w:rsidR="002A324C" w:rsidRPr="005F3EFC" w:rsidRDefault="002A324C">
      <w:pPr>
        <w:ind w:left="1440"/>
        <w:rPr>
          <w:rFonts w:asciiTheme="majorHAnsi" w:hAnsiTheme="majorHAnsi" w:cstheme="majorHAnsi"/>
        </w:rPr>
      </w:pPr>
    </w:p>
    <w:p w14:paraId="4E71FD3E" w14:textId="77777777" w:rsidR="002A324C" w:rsidRPr="005F3EFC" w:rsidRDefault="002A324C">
      <w:pPr>
        <w:ind w:left="720"/>
        <w:rPr>
          <w:rFonts w:asciiTheme="majorHAnsi" w:hAnsiTheme="majorHAnsi" w:cstheme="majorHAnsi"/>
        </w:rPr>
      </w:pPr>
    </w:p>
    <w:p w14:paraId="49EC110D" w14:textId="77777777" w:rsidR="00681130" w:rsidRPr="005F3EFC" w:rsidRDefault="00681130" w:rsidP="00B56C7C">
      <w:pPr>
        <w:pStyle w:val="Heading1"/>
        <w:rPr>
          <w:rFonts w:asciiTheme="majorHAnsi" w:hAnsiTheme="majorHAnsi" w:cstheme="majorHAnsi"/>
        </w:rPr>
      </w:pPr>
      <w:bookmarkStart w:id="8" w:name="_Toc63242829"/>
      <w:r w:rsidRPr="005F3EFC">
        <w:rPr>
          <w:rFonts w:asciiTheme="majorHAnsi" w:hAnsiTheme="majorHAnsi" w:cstheme="majorHAnsi"/>
        </w:rPr>
        <w:lastRenderedPageBreak/>
        <w:t>References:</w:t>
      </w:r>
      <w:bookmarkEnd w:id="8"/>
    </w:p>
    <w:p w14:paraId="00570BB3" w14:textId="77777777" w:rsidR="00681130" w:rsidRPr="005F3EFC" w:rsidRDefault="00681130" w:rsidP="00681130">
      <w:pPr>
        <w:numPr>
          <w:ilvl w:val="0"/>
          <w:numId w:val="7"/>
        </w:numPr>
        <w:rPr>
          <w:rFonts w:asciiTheme="majorHAnsi" w:hAnsiTheme="majorHAnsi" w:cstheme="majorHAnsi"/>
        </w:rPr>
      </w:pPr>
      <w:r w:rsidRPr="005F3EFC">
        <w:rPr>
          <w:rFonts w:asciiTheme="majorHAnsi" w:eastAsia="Times New Roman" w:hAnsiTheme="majorHAnsi" w:cstheme="majorHAnsi"/>
        </w:rPr>
        <w:t>Lodise T, et al. Vancomycin exposure in patients with methicillin-resistant Staphylococcus aureus bloodstream infections: how much is enough? Clin Infect Dis. 2014 Sep 1;59(5):666-75.</w:t>
      </w:r>
    </w:p>
    <w:p w14:paraId="26687BB0" w14:textId="77777777" w:rsidR="00681130" w:rsidRPr="005F3EFC" w:rsidRDefault="00681130" w:rsidP="00681130">
      <w:pPr>
        <w:numPr>
          <w:ilvl w:val="0"/>
          <w:numId w:val="7"/>
        </w:numPr>
        <w:rPr>
          <w:rFonts w:asciiTheme="majorHAnsi" w:hAnsiTheme="majorHAnsi" w:cstheme="majorHAnsi"/>
        </w:rPr>
      </w:pPr>
      <w:r w:rsidRPr="005F3EFC">
        <w:rPr>
          <w:rFonts w:asciiTheme="majorHAnsi" w:eastAsia="Times New Roman" w:hAnsiTheme="majorHAnsi" w:cstheme="majorHAnsi"/>
        </w:rPr>
        <w:t>Neely M, et al. Are vancomycin trough concentrations adequate for optimal dosing? Antimicrob Agents Chemother. 2014;58(1):309-16.</w:t>
      </w:r>
    </w:p>
    <w:p w14:paraId="115DE87B" w14:textId="77777777" w:rsidR="00681130" w:rsidRPr="005F3EFC" w:rsidRDefault="00681130" w:rsidP="00681130">
      <w:pPr>
        <w:numPr>
          <w:ilvl w:val="0"/>
          <w:numId w:val="7"/>
        </w:numPr>
        <w:rPr>
          <w:rFonts w:asciiTheme="majorHAnsi" w:hAnsiTheme="majorHAnsi" w:cstheme="majorHAnsi"/>
        </w:rPr>
      </w:pPr>
      <w:r w:rsidRPr="005F3EFC">
        <w:rPr>
          <w:rFonts w:asciiTheme="majorHAnsi" w:eastAsia="Times New Roman" w:hAnsiTheme="majorHAnsi" w:cstheme="majorHAnsi"/>
        </w:rPr>
        <w:t xml:space="preserve">Bosso J, et al. Relationship between Vancomycin Trough Concentrations and Nephrotoxicity: a Prospective Multicenter Trial. </w:t>
      </w:r>
      <w:hyperlink r:id="rId10">
        <w:r w:rsidRPr="005F3EFC">
          <w:rPr>
            <w:rFonts w:asciiTheme="majorHAnsi" w:eastAsia="Times New Roman" w:hAnsiTheme="majorHAnsi" w:cstheme="majorHAnsi"/>
          </w:rPr>
          <w:t>Antimicrob Agents Chemother</w:t>
        </w:r>
      </w:hyperlink>
      <w:r w:rsidRPr="005F3EFC">
        <w:rPr>
          <w:rFonts w:asciiTheme="majorHAnsi" w:eastAsia="Times New Roman" w:hAnsiTheme="majorHAnsi" w:cstheme="majorHAnsi"/>
        </w:rPr>
        <w:t>. 2011 Dec; 55(12): 5475–5479.</w:t>
      </w:r>
    </w:p>
    <w:p w14:paraId="5AAC7ADE" w14:textId="77777777" w:rsidR="00681130" w:rsidRPr="005F3EFC" w:rsidRDefault="00681130" w:rsidP="00681130">
      <w:pPr>
        <w:numPr>
          <w:ilvl w:val="0"/>
          <w:numId w:val="7"/>
        </w:numPr>
        <w:pBdr>
          <w:top w:val="nil"/>
          <w:left w:val="nil"/>
          <w:bottom w:val="nil"/>
          <w:right w:val="nil"/>
          <w:between w:val="nil"/>
        </w:pBdr>
        <w:rPr>
          <w:rFonts w:asciiTheme="majorHAnsi" w:hAnsiTheme="majorHAnsi" w:cstheme="majorHAnsi"/>
        </w:rPr>
      </w:pPr>
      <w:r w:rsidRPr="005F3EFC">
        <w:rPr>
          <w:rFonts w:asciiTheme="majorHAnsi" w:eastAsia="Times New Roman" w:hAnsiTheme="majorHAnsi" w:cstheme="majorHAnsi"/>
        </w:rPr>
        <w:t>van Hal SJ, Paterson DL, Lodise TP. Systematic review and meta-analysis of vancomycin-induced nephrotoxicity associated with dosing schedules that maintain troughs between 15 and 20 milligrams per liter. Antimicrob Agents Chemother. 2013; 57(2):734-744.</w:t>
      </w:r>
    </w:p>
    <w:p w14:paraId="25F27BBB" w14:textId="77777777" w:rsidR="00681130" w:rsidRPr="005F3EFC" w:rsidRDefault="00681130" w:rsidP="00681130">
      <w:pPr>
        <w:numPr>
          <w:ilvl w:val="0"/>
          <w:numId w:val="7"/>
        </w:numPr>
        <w:pBdr>
          <w:top w:val="nil"/>
          <w:left w:val="nil"/>
          <w:bottom w:val="nil"/>
          <w:right w:val="nil"/>
          <w:between w:val="nil"/>
        </w:pBdr>
        <w:rPr>
          <w:rFonts w:asciiTheme="majorHAnsi" w:hAnsiTheme="majorHAnsi" w:cstheme="majorHAnsi"/>
        </w:rPr>
      </w:pPr>
      <w:r w:rsidRPr="005F3EFC">
        <w:rPr>
          <w:rFonts w:asciiTheme="majorHAnsi" w:eastAsia="Times New Roman" w:hAnsiTheme="majorHAnsi" w:cstheme="majorHAnsi"/>
        </w:rPr>
        <w:t>Aljefri DM, Avedissian SN, Rhodes NJ, Postelnick MJ, Nguyen K, Scheetz MH. Vancomycin area under the curve and acute kidney injury: a meta-analysis. Clin Infect Dis. 2019; 69(11):1881-188</w:t>
      </w:r>
      <w:r w:rsidRPr="005F3EFC">
        <w:rPr>
          <w:rFonts w:asciiTheme="majorHAnsi" w:hAnsiTheme="majorHAnsi" w:cstheme="majorHAnsi"/>
        </w:rPr>
        <w:t>7.</w:t>
      </w:r>
    </w:p>
    <w:p w14:paraId="628169AE" w14:textId="77777777" w:rsidR="00681130" w:rsidRPr="005F3EFC" w:rsidRDefault="00681130" w:rsidP="00681130">
      <w:pPr>
        <w:numPr>
          <w:ilvl w:val="0"/>
          <w:numId w:val="7"/>
        </w:numPr>
        <w:pBdr>
          <w:top w:val="nil"/>
          <w:left w:val="nil"/>
          <w:bottom w:val="nil"/>
          <w:right w:val="nil"/>
          <w:between w:val="nil"/>
        </w:pBdr>
        <w:rPr>
          <w:rFonts w:asciiTheme="majorHAnsi" w:hAnsiTheme="majorHAnsi" w:cstheme="majorHAnsi"/>
        </w:rPr>
      </w:pPr>
      <w:r w:rsidRPr="005F3EFC">
        <w:rPr>
          <w:rFonts w:asciiTheme="majorHAnsi" w:eastAsia="Times New Roman" w:hAnsiTheme="majorHAnsi" w:cstheme="majorHAnsi"/>
        </w:rPr>
        <w:t>Suzuki Y, Kawasaki K, Sato Y et al. Is peak concentration needed in therapeutic drug monitoring of vancomycin? A pharmacokinetic-pharmacodynamic analysis in patients with methicillin resistant Staphylococcus aureus pneumonia. Chemotherapy. 2012; 58(4):308-312</w:t>
      </w:r>
      <w:r w:rsidRPr="005F3EFC">
        <w:rPr>
          <w:rFonts w:asciiTheme="majorHAnsi" w:hAnsiTheme="majorHAnsi" w:cstheme="majorHAnsi"/>
        </w:rPr>
        <w:t>.</w:t>
      </w:r>
    </w:p>
    <w:p w14:paraId="19C0339F" w14:textId="77777777" w:rsidR="00681130" w:rsidRPr="005F3EFC" w:rsidRDefault="00681130" w:rsidP="00681130">
      <w:pPr>
        <w:numPr>
          <w:ilvl w:val="0"/>
          <w:numId w:val="7"/>
        </w:numPr>
        <w:rPr>
          <w:rFonts w:asciiTheme="majorHAnsi" w:hAnsiTheme="majorHAnsi" w:cstheme="majorHAnsi"/>
        </w:rPr>
      </w:pPr>
      <w:r w:rsidRPr="005F3EFC">
        <w:rPr>
          <w:rFonts w:asciiTheme="majorHAnsi" w:hAnsiTheme="majorHAnsi" w:cstheme="majorHAnsi"/>
        </w:rPr>
        <w:t>Hao JJ, Chen H, Zhou JX. Continuous versus intermittent infusion of vancomycin in adult patients: a systematic review and meta-analysis. Int J Antimicrob Agents 2016;47:28–35.</w:t>
      </w:r>
    </w:p>
    <w:p w14:paraId="7D891474" w14:textId="77777777" w:rsidR="00681130" w:rsidRPr="005F3EFC" w:rsidRDefault="00681130" w:rsidP="00681130">
      <w:pPr>
        <w:numPr>
          <w:ilvl w:val="0"/>
          <w:numId w:val="7"/>
        </w:numPr>
        <w:pBdr>
          <w:top w:val="nil"/>
          <w:left w:val="nil"/>
          <w:bottom w:val="nil"/>
          <w:right w:val="nil"/>
          <w:between w:val="nil"/>
        </w:pBdr>
        <w:rPr>
          <w:rFonts w:asciiTheme="majorHAnsi" w:hAnsiTheme="majorHAnsi" w:cstheme="majorHAnsi"/>
        </w:rPr>
      </w:pPr>
      <w:r w:rsidRPr="005F3EFC">
        <w:rPr>
          <w:rFonts w:asciiTheme="majorHAnsi" w:hAnsiTheme="majorHAnsi" w:cstheme="majorHAnsi"/>
        </w:rPr>
        <w:t>Shakeraneh P, Fazili T, Wang D, et al. Nephrotoxicity Risk and Clinical Effectiveness of Continuous versus Intermittent Infusion Vancomycin Among Patients in an Outpatient Parenteral Antimicrobial Therapy Program. Pharmacotherapy. 2020;40(4):357-362.</w:t>
      </w:r>
    </w:p>
    <w:p w14:paraId="0EE2A11A" w14:textId="77777777" w:rsidR="00681130" w:rsidRPr="005F3EFC" w:rsidRDefault="00681130" w:rsidP="00681130">
      <w:pPr>
        <w:numPr>
          <w:ilvl w:val="0"/>
          <w:numId w:val="7"/>
        </w:numPr>
        <w:pBdr>
          <w:top w:val="nil"/>
          <w:left w:val="nil"/>
          <w:bottom w:val="nil"/>
          <w:right w:val="nil"/>
          <w:between w:val="nil"/>
        </w:pBdr>
        <w:rPr>
          <w:rFonts w:asciiTheme="majorHAnsi" w:hAnsiTheme="majorHAnsi" w:cstheme="majorHAnsi"/>
        </w:rPr>
      </w:pPr>
      <w:r w:rsidRPr="005F3EFC">
        <w:rPr>
          <w:rFonts w:asciiTheme="majorHAnsi" w:hAnsiTheme="majorHAnsi" w:cstheme="majorHAnsi"/>
        </w:rPr>
        <w:t>Ma NH, Walker SAN, Elligsen M, et al. Retrospective multicentre matched cohort study comparing safety and efficacy outcomes of intermittent-infusion versus continuous-infusion vancomycin. J Antimicrob Chemother. 2020;75(4):1038-1046.</w:t>
      </w:r>
    </w:p>
    <w:p w14:paraId="274B18C5" w14:textId="1F563012" w:rsidR="00681130" w:rsidRDefault="00681130" w:rsidP="00681130">
      <w:pPr>
        <w:numPr>
          <w:ilvl w:val="0"/>
          <w:numId w:val="7"/>
        </w:numPr>
        <w:pBdr>
          <w:top w:val="nil"/>
          <w:left w:val="nil"/>
          <w:bottom w:val="nil"/>
          <w:right w:val="nil"/>
          <w:between w:val="nil"/>
        </w:pBdr>
        <w:rPr>
          <w:rFonts w:asciiTheme="majorHAnsi" w:hAnsiTheme="majorHAnsi" w:cstheme="majorHAnsi"/>
        </w:rPr>
      </w:pPr>
      <w:r w:rsidRPr="005F3EFC">
        <w:rPr>
          <w:rFonts w:asciiTheme="majorHAnsi" w:hAnsiTheme="majorHAnsi" w:cstheme="majorHAnsi"/>
        </w:rPr>
        <w:t xml:space="preserve">Rybak MJ, Le J, Lodise TP, et al. Therapeutic Monitoring of Vancomycin for Serious Methicillin-resistant Staphylococcus aureus Infections: A Revised Consensus Guideline and Review by the American Society of Health-system Pharmacists, the Infectious Diseases Society of America, the Pediatric Infectious Diseases Society, and the Society of Infectious Diseases Pharmacists. </w:t>
      </w:r>
      <w:r w:rsidR="006D38E0">
        <w:rPr>
          <w:rFonts w:asciiTheme="majorHAnsi" w:hAnsiTheme="majorHAnsi" w:cstheme="majorHAnsi"/>
        </w:rPr>
        <w:t>Am J Health Syst Pharm 2020;77(11):835-64.</w:t>
      </w:r>
    </w:p>
    <w:p w14:paraId="32DA682B" w14:textId="62CCEF0F" w:rsidR="006D38E0" w:rsidRPr="005F3EFC" w:rsidRDefault="006D38E0" w:rsidP="00681130">
      <w:pPr>
        <w:numPr>
          <w:ilvl w:val="0"/>
          <w:numId w:val="7"/>
        </w:numPr>
        <w:pBdr>
          <w:top w:val="nil"/>
          <w:left w:val="nil"/>
          <w:bottom w:val="nil"/>
          <w:right w:val="nil"/>
          <w:between w:val="nil"/>
        </w:pBdr>
        <w:rPr>
          <w:rFonts w:asciiTheme="majorHAnsi" w:hAnsiTheme="majorHAnsi" w:cstheme="majorHAnsi"/>
        </w:rPr>
      </w:pPr>
      <w:r>
        <w:rPr>
          <w:rFonts w:asciiTheme="majorHAnsi" w:hAnsiTheme="majorHAnsi" w:cstheme="majorHAnsi"/>
        </w:rPr>
        <w:t>Jumah MTB, Vasoo S, Menon S, et al. Pharmacokinetic/Pharmacodynamic Determinants of Vancomycin Efficacy in Enterococcal Bacteremia. Antimicrob Agent Chemother 2017;62:e01602-17.</w:t>
      </w:r>
    </w:p>
    <w:p w14:paraId="060D0B45" w14:textId="77777777" w:rsidR="002A324C" w:rsidRPr="005F3EFC" w:rsidRDefault="002A324C" w:rsidP="00681130">
      <w:pPr>
        <w:rPr>
          <w:rFonts w:asciiTheme="majorHAnsi" w:hAnsiTheme="majorHAnsi" w:cstheme="majorHAnsi"/>
        </w:rPr>
      </w:pPr>
    </w:p>
    <w:p w14:paraId="3D75FE14" w14:textId="77777777" w:rsidR="002A324C" w:rsidRPr="005F3EFC" w:rsidRDefault="002A324C">
      <w:pPr>
        <w:ind w:left="720"/>
        <w:rPr>
          <w:rFonts w:asciiTheme="majorHAnsi" w:hAnsiTheme="majorHAnsi" w:cstheme="majorHAnsi"/>
        </w:rPr>
      </w:pPr>
    </w:p>
    <w:p w14:paraId="72A11EF4" w14:textId="77777777" w:rsidR="002A324C" w:rsidRPr="005F3EFC" w:rsidRDefault="002A324C">
      <w:pPr>
        <w:ind w:left="720"/>
        <w:rPr>
          <w:rFonts w:asciiTheme="majorHAnsi" w:hAnsiTheme="majorHAnsi" w:cstheme="majorHAnsi"/>
        </w:rPr>
      </w:pPr>
    </w:p>
    <w:p w14:paraId="2A2D60BE" w14:textId="77777777" w:rsidR="002A324C" w:rsidRPr="005F3EFC" w:rsidRDefault="002A324C">
      <w:pPr>
        <w:ind w:left="720"/>
        <w:rPr>
          <w:rFonts w:asciiTheme="majorHAnsi" w:hAnsiTheme="majorHAnsi" w:cstheme="majorHAnsi"/>
        </w:rPr>
      </w:pPr>
    </w:p>
    <w:p w14:paraId="29E5144B" w14:textId="77777777" w:rsidR="002A324C" w:rsidRPr="005F3EFC" w:rsidRDefault="002A324C">
      <w:pPr>
        <w:ind w:left="720"/>
        <w:rPr>
          <w:rFonts w:asciiTheme="majorHAnsi" w:hAnsiTheme="majorHAnsi" w:cstheme="majorHAnsi"/>
        </w:rPr>
      </w:pPr>
    </w:p>
    <w:p w14:paraId="54484EB9" w14:textId="77777777" w:rsidR="002A324C" w:rsidRPr="005F3EFC" w:rsidRDefault="002A324C">
      <w:pPr>
        <w:ind w:left="720"/>
        <w:rPr>
          <w:rFonts w:asciiTheme="majorHAnsi" w:hAnsiTheme="majorHAnsi" w:cstheme="majorHAnsi"/>
        </w:rPr>
      </w:pPr>
    </w:p>
    <w:p w14:paraId="7500E200" w14:textId="77777777" w:rsidR="002A324C" w:rsidRPr="005F3EFC" w:rsidRDefault="002A324C">
      <w:pPr>
        <w:ind w:left="720"/>
        <w:rPr>
          <w:rFonts w:asciiTheme="majorHAnsi" w:hAnsiTheme="majorHAnsi" w:cstheme="majorHAnsi"/>
        </w:rPr>
      </w:pPr>
    </w:p>
    <w:p w14:paraId="53034BDC" w14:textId="0C1B4BE0" w:rsidR="002A324C" w:rsidRPr="005F3EFC" w:rsidRDefault="00681130" w:rsidP="00B56C7C">
      <w:pPr>
        <w:pStyle w:val="Heading1"/>
        <w:rPr>
          <w:rFonts w:asciiTheme="majorHAnsi" w:hAnsiTheme="majorHAnsi" w:cstheme="majorHAnsi"/>
        </w:rPr>
      </w:pPr>
      <w:bookmarkStart w:id="9" w:name="_Toc63242830"/>
      <w:r w:rsidRPr="005F3EFC">
        <w:rPr>
          <w:rFonts w:asciiTheme="majorHAnsi" w:hAnsiTheme="majorHAnsi" w:cstheme="majorHAnsi"/>
        </w:rPr>
        <w:lastRenderedPageBreak/>
        <w:t>Appendices</w:t>
      </w:r>
      <w:bookmarkEnd w:id="9"/>
    </w:p>
    <w:p w14:paraId="4082067F" w14:textId="1BA2EAEB" w:rsidR="002A324C" w:rsidRDefault="00681130">
      <w:pPr>
        <w:numPr>
          <w:ilvl w:val="0"/>
          <w:numId w:val="5"/>
        </w:numPr>
        <w:rPr>
          <w:rFonts w:asciiTheme="majorHAnsi" w:hAnsiTheme="majorHAnsi" w:cstheme="majorHAnsi"/>
        </w:rPr>
      </w:pPr>
      <w:r w:rsidRPr="005F3EFC">
        <w:rPr>
          <w:rFonts w:asciiTheme="majorHAnsi" w:hAnsiTheme="majorHAnsi" w:cstheme="majorHAnsi"/>
        </w:rPr>
        <w:t>Pharmacokinetic Equations for Therapeutic Drug Monitoring of Vancomycin</w:t>
      </w:r>
    </w:p>
    <w:p w14:paraId="0D994499" w14:textId="77777777" w:rsidR="00C55F5C" w:rsidRDefault="00C55F5C" w:rsidP="00C55F5C">
      <w:pPr>
        <w:spacing w:line="240" w:lineRule="auto"/>
        <w:rPr>
          <w:rFonts w:asciiTheme="majorHAnsi" w:hAnsiTheme="majorHAnsi" w:cstheme="majorHAnsi"/>
          <w:sz w:val="20"/>
          <w:szCs w:val="20"/>
        </w:rPr>
      </w:pPr>
    </w:p>
    <w:p w14:paraId="16417BD4" w14:textId="6ABDC772" w:rsidR="00C55F5C" w:rsidRPr="00681130" w:rsidRDefault="00C55F5C" w:rsidP="00C55F5C">
      <w:pPr>
        <w:spacing w:line="240" w:lineRule="auto"/>
        <w:rPr>
          <w:rFonts w:asciiTheme="majorHAnsi" w:hAnsiTheme="majorHAnsi" w:cstheme="majorHAnsi"/>
          <w:sz w:val="20"/>
          <w:szCs w:val="20"/>
        </w:rPr>
      </w:pPr>
      <w:r w:rsidRPr="00681130">
        <w:rPr>
          <w:rFonts w:asciiTheme="majorHAnsi" w:hAnsiTheme="majorHAnsi" w:cstheme="majorHAnsi"/>
          <w:sz w:val="20"/>
          <w:szCs w:val="20"/>
        </w:rPr>
        <w:t>Population Pharmacokinetic Estimates</w:t>
      </w:r>
    </w:p>
    <w:p w14:paraId="69383294" w14:textId="77777777" w:rsidR="00C55F5C" w:rsidRPr="00681130" w:rsidRDefault="00C55F5C" w:rsidP="00C55F5C">
      <w:pPr>
        <w:spacing w:line="240" w:lineRule="auto"/>
        <w:rPr>
          <w:rFonts w:asciiTheme="majorHAnsi" w:hAnsiTheme="majorHAnsi" w:cstheme="majorHAnsi"/>
        </w:rPr>
      </w:pPr>
    </w:p>
    <w:tbl>
      <w:tblPr>
        <w:tblStyle w:val="TableGrid"/>
        <w:tblW w:w="0" w:type="auto"/>
        <w:tblLook w:val="04A0" w:firstRow="1" w:lastRow="0" w:firstColumn="1" w:lastColumn="0" w:noHBand="0" w:noVBand="1"/>
      </w:tblPr>
      <w:tblGrid>
        <w:gridCol w:w="2695"/>
        <w:gridCol w:w="4494"/>
        <w:gridCol w:w="2161"/>
      </w:tblGrid>
      <w:tr w:rsidR="00C55F5C" w:rsidRPr="00681130" w14:paraId="72CCC12C" w14:textId="77777777" w:rsidTr="006E3274">
        <w:tc>
          <w:tcPr>
            <w:tcW w:w="2695" w:type="dxa"/>
          </w:tcPr>
          <w:p w14:paraId="2BF94B4E" w14:textId="77777777" w:rsidR="00C55F5C" w:rsidRPr="00681130" w:rsidRDefault="00C55F5C" w:rsidP="006E3274">
            <w:pPr>
              <w:jc w:val="center"/>
              <w:rPr>
                <w:rFonts w:asciiTheme="majorHAnsi" w:hAnsiTheme="majorHAnsi" w:cstheme="majorHAnsi"/>
                <w:b/>
                <w:sz w:val="20"/>
                <w:szCs w:val="20"/>
              </w:rPr>
            </w:pPr>
            <w:r w:rsidRPr="00681130">
              <w:rPr>
                <w:rFonts w:asciiTheme="majorHAnsi" w:hAnsiTheme="majorHAnsi" w:cstheme="majorHAnsi"/>
                <w:b/>
                <w:sz w:val="20"/>
                <w:szCs w:val="20"/>
              </w:rPr>
              <w:t>Step</w:t>
            </w:r>
          </w:p>
        </w:tc>
        <w:tc>
          <w:tcPr>
            <w:tcW w:w="4494" w:type="dxa"/>
          </w:tcPr>
          <w:p w14:paraId="15CACCA0" w14:textId="77777777" w:rsidR="00C55F5C" w:rsidRPr="00681130" w:rsidRDefault="00C55F5C" w:rsidP="006E3274">
            <w:pPr>
              <w:jc w:val="center"/>
              <w:rPr>
                <w:rFonts w:asciiTheme="majorHAnsi" w:hAnsiTheme="majorHAnsi" w:cstheme="majorHAnsi"/>
                <w:b/>
                <w:sz w:val="20"/>
                <w:szCs w:val="20"/>
              </w:rPr>
            </w:pPr>
            <w:r w:rsidRPr="00681130">
              <w:rPr>
                <w:rFonts w:asciiTheme="majorHAnsi" w:hAnsiTheme="majorHAnsi" w:cstheme="majorHAnsi"/>
                <w:b/>
                <w:sz w:val="20"/>
                <w:szCs w:val="20"/>
              </w:rPr>
              <w:t>Equation</w:t>
            </w:r>
          </w:p>
        </w:tc>
        <w:tc>
          <w:tcPr>
            <w:tcW w:w="2161" w:type="dxa"/>
          </w:tcPr>
          <w:p w14:paraId="2018CF13" w14:textId="77777777" w:rsidR="00C55F5C" w:rsidRPr="00681130" w:rsidRDefault="00C55F5C" w:rsidP="006E3274">
            <w:pPr>
              <w:jc w:val="center"/>
              <w:rPr>
                <w:rFonts w:asciiTheme="majorHAnsi" w:hAnsiTheme="majorHAnsi" w:cstheme="majorHAnsi"/>
                <w:b/>
                <w:sz w:val="20"/>
                <w:szCs w:val="20"/>
              </w:rPr>
            </w:pPr>
            <w:r w:rsidRPr="00681130">
              <w:rPr>
                <w:rFonts w:asciiTheme="majorHAnsi" w:hAnsiTheme="majorHAnsi" w:cstheme="majorHAnsi"/>
                <w:b/>
                <w:sz w:val="20"/>
                <w:szCs w:val="20"/>
              </w:rPr>
              <w:t>Notes</w:t>
            </w:r>
          </w:p>
        </w:tc>
      </w:tr>
      <w:tr w:rsidR="00C55F5C" w:rsidRPr="00681130" w14:paraId="6ABD9886" w14:textId="77777777" w:rsidTr="006E3274">
        <w:tc>
          <w:tcPr>
            <w:tcW w:w="2695" w:type="dxa"/>
          </w:tcPr>
          <w:p w14:paraId="341BBACF" w14:textId="77777777" w:rsidR="00C55F5C" w:rsidRPr="00681130" w:rsidRDefault="00C55F5C" w:rsidP="006E3274">
            <w:pPr>
              <w:pStyle w:val="ListParagraph"/>
              <w:numPr>
                <w:ilvl w:val="0"/>
                <w:numId w:val="17"/>
              </w:numPr>
              <w:rPr>
                <w:rFonts w:asciiTheme="majorHAnsi" w:hAnsiTheme="majorHAnsi" w:cstheme="majorHAnsi"/>
                <w:sz w:val="20"/>
                <w:szCs w:val="20"/>
              </w:rPr>
            </w:pPr>
            <w:r w:rsidRPr="00681130">
              <w:rPr>
                <w:rFonts w:asciiTheme="majorHAnsi" w:hAnsiTheme="majorHAnsi" w:cstheme="majorHAnsi"/>
                <w:sz w:val="20"/>
                <w:szCs w:val="20"/>
              </w:rPr>
              <w:t>Estimate creatinine clearance (CrCL, mL/min)</w:t>
            </w:r>
          </w:p>
        </w:tc>
        <w:tc>
          <w:tcPr>
            <w:tcW w:w="4494" w:type="dxa"/>
          </w:tcPr>
          <w:p w14:paraId="26DA5A90" w14:textId="77777777" w:rsidR="00C55F5C" w:rsidRPr="00681130" w:rsidRDefault="00C55F5C" w:rsidP="006E3274">
            <w:pPr>
              <w:jc w:val="center"/>
              <w:rPr>
                <w:rFonts w:asciiTheme="majorHAnsi" w:eastAsia="Calibri" w:hAnsiTheme="majorHAnsi" w:cstheme="majorHAnsi"/>
                <w:sz w:val="20"/>
                <w:szCs w:val="20"/>
              </w:rPr>
            </w:pPr>
            <m:oMathPara>
              <m:oMath>
                <m:r>
                  <w:rPr>
                    <w:rFonts w:ascii="Cambria Math" w:eastAsia="Calibri" w:hAnsi="Cambria Math" w:cstheme="majorHAnsi"/>
                    <w:sz w:val="20"/>
                    <w:szCs w:val="20"/>
                  </w:rPr>
                  <m:t xml:space="preserve">CrCL= </m:t>
                </m:r>
                <m:f>
                  <m:fPr>
                    <m:ctrlPr>
                      <w:rPr>
                        <w:rFonts w:ascii="Cambria Math" w:eastAsia="Calibri" w:hAnsi="Cambria Math" w:cstheme="majorHAnsi"/>
                        <w:i/>
                        <w:sz w:val="20"/>
                        <w:szCs w:val="20"/>
                      </w:rPr>
                    </m:ctrlPr>
                  </m:fPr>
                  <m:num>
                    <m:d>
                      <m:dPr>
                        <m:ctrlPr>
                          <w:rPr>
                            <w:rFonts w:ascii="Cambria Math" w:eastAsia="Calibri" w:hAnsi="Cambria Math" w:cstheme="majorHAnsi"/>
                            <w:i/>
                            <w:sz w:val="20"/>
                            <w:szCs w:val="20"/>
                          </w:rPr>
                        </m:ctrlPr>
                      </m:dPr>
                      <m:e>
                        <m:r>
                          <w:rPr>
                            <w:rFonts w:ascii="Cambria Math" w:eastAsia="Calibri" w:hAnsi="Cambria Math" w:cstheme="majorHAnsi"/>
                            <w:sz w:val="20"/>
                            <w:szCs w:val="20"/>
                          </w:rPr>
                          <m:t>140-age</m:t>
                        </m:r>
                      </m:e>
                    </m:d>
                    <m:r>
                      <w:rPr>
                        <w:rFonts w:ascii="Cambria Math" w:eastAsia="Calibri" w:hAnsi="Cambria Math" w:cstheme="majorHAnsi"/>
                        <w:sz w:val="20"/>
                        <w:szCs w:val="20"/>
                      </w:rPr>
                      <m:t>*BW</m:t>
                    </m:r>
                  </m:num>
                  <m:den>
                    <m:r>
                      <w:rPr>
                        <w:rFonts w:ascii="Cambria Math" w:eastAsia="Calibri" w:hAnsi="Cambria Math" w:cstheme="majorHAnsi"/>
                        <w:sz w:val="20"/>
                        <w:szCs w:val="20"/>
                      </w:rPr>
                      <m:t>72*SCr</m:t>
                    </m:r>
                  </m:den>
                </m:f>
                <m:r>
                  <w:rPr>
                    <w:rFonts w:ascii="Cambria Math" w:eastAsia="Calibri" w:hAnsi="Cambria Math" w:cstheme="majorHAnsi"/>
                    <w:sz w:val="20"/>
                    <w:szCs w:val="20"/>
                  </w:rPr>
                  <m:t xml:space="preserve"> </m:t>
                </m:r>
                <m:d>
                  <m:dPr>
                    <m:begChr m:val="["/>
                    <m:endChr m:val="]"/>
                    <m:ctrlPr>
                      <w:rPr>
                        <w:rFonts w:ascii="Cambria Math" w:eastAsia="Calibri" w:hAnsi="Cambria Math" w:cstheme="majorHAnsi"/>
                        <w:i/>
                        <w:sz w:val="20"/>
                        <w:szCs w:val="20"/>
                      </w:rPr>
                    </m:ctrlPr>
                  </m:dPr>
                  <m:e>
                    <m:r>
                      <w:rPr>
                        <w:rFonts w:ascii="Cambria Math" w:eastAsia="Calibri" w:hAnsi="Cambria Math" w:cstheme="majorHAnsi"/>
                        <w:sz w:val="20"/>
                        <w:szCs w:val="20"/>
                      </w:rPr>
                      <m:t xml:space="preserve"> *0.85 if female</m:t>
                    </m:r>
                  </m:e>
                </m:d>
              </m:oMath>
            </m:oMathPara>
          </w:p>
        </w:tc>
        <w:tc>
          <w:tcPr>
            <w:tcW w:w="2161" w:type="dxa"/>
          </w:tcPr>
          <w:p w14:paraId="21D1051B" w14:textId="77777777" w:rsidR="00C55F5C" w:rsidRPr="00681130" w:rsidRDefault="00C55F5C" w:rsidP="006E3274">
            <w:pPr>
              <w:jc w:val="center"/>
              <w:rPr>
                <w:rFonts w:asciiTheme="majorHAnsi" w:eastAsia="Calibri" w:hAnsiTheme="majorHAnsi" w:cstheme="majorHAnsi"/>
                <w:sz w:val="20"/>
                <w:szCs w:val="20"/>
              </w:rPr>
            </w:pPr>
            <w:r w:rsidRPr="00681130">
              <w:rPr>
                <w:rFonts w:asciiTheme="majorHAnsi" w:eastAsia="Calibri" w:hAnsiTheme="majorHAnsi" w:cstheme="majorHAnsi"/>
                <w:sz w:val="20"/>
                <w:szCs w:val="20"/>
              </w:rPr>
              <w:t>BW=Body weight</w:t>
            </w:r>
          </w:p>
        </w:tc>
      </w:tr>
      <w:tr w:rsidR="00C55F5C" w:rsidRPr="00681130" w14:paraId="68E103E2" w14:textId="77777777" w:rsidTr="006E3274">
        <w:tc>
          <w:tcPr>
            <w:tcW w:w="2695" w:type="dxa"/>
          </w:tcPr>
          <w:p w14:paraId="069143F8" w14:textId="77777777" w:rsidR="00C55F5C" w:rsidRPr="00681130" w:rsidRDefault="00C55F5C" w:rsidP="006E3274">
            <w:pPr>
              <w:pStyle w:val="ListParagraph"/>
              <w:numPr>
                <w:ilvl w:val="0"/>
                <w:numId w:val="17"/>
              </w:numPr>
              <w:rPr>
                <w:rFonts w:asciiTheme="majorHAnsi" w:hAnsiTheme="majorHAnsi" w:cstheme="majorHAnsi"/>
                <w:sz w:val="20"/>
                <w:szCs w:val="20"/>
              </w:rPr>
            </w:pPr>
            <w:r w:rsidRPr="00681130">
              <w:rPr>
                <w:rFonts w:asciiTheme="majorHAnsi" w:hAnsiTheme="majorHAnsi" w:cstheme="majorHAnsi"/>
                <w:sz w:val="20"/>
                <w:szCs w:val="20"/>
              </w:rPr>
              <w:t>Estimate clearance (CL, L/h)</w:t>
            </w:r>
          </w:p>
        </w:tc>
        <w:tc>
          <w:tcPr>
            <w:tcW w:w="4494" w:type="dxa"/>
          </w:tcPr>
          <w:p w14:paraId="0DE93B2B" w14:textId="77777777" w:rsidR="00C55F5C" w:rsidRPr="00681130" w:rsidRDefault="00C55F5C" w:rsidP="006E3274">
            <w:pPr>
              <w:jc w:val="center"/>
              <w:rPr>
                <w:rFonts w:asciiTheme="majorHAnsi" w:eastAsia="Calibri" w:hAnsiTheme="majorHAnsi" w:cstheme="majorHAnsi"/>
                <w:sz w:val="20"/>
                <w:szCs w:val="20"/>
              </w:rPr>
            </w:pPr>
            <m:oMathPara>
              <m:oMath>
                <m:r>
                  <w:rPr>
                    <w:rFonts w:ascii="Cambria Math" w:eastAsia="Calibri" w:hAnsi="Cambria Math" w:cstheme="majorHAnsi"/>
                    <w:sz w:val="20"/>
                    <w:szCs w:val="20"/>
                  </w:rPr>
                  <m:t>CL=0.75*CrCL*0.06</m:t>
                </m:r>
              </m:oMath>
            </m:oMathPara>
          </w:p>
        </w:tc>
        <w:tc>
          <w:tcPr>
            <w:tcW w:w="2161" w:type="dxa"/>
          </w:tcPr>
          <w:p w14:paraId="478F8B55" w14:textId="77777777" w:rsidR="00C55F5C" w:rsidRPr="00681130" w:rsidRDefault="00C55F5C" w:rsidP="006E3274">
            <w:pPr>
              <w:jc w:val="center"/>
              <w:rPr>
                <w:rFonts w:asciiTheme="majorHAnsi" w:eastAsia="Calibri" w:hAnsiTheme="majorHAnsi" w:cstheme="majorHAnsi"/>
                <w:sz w:val="20"/>
                <w:szCs w:val="20"/>
              </w:rPr>
            </w:pPr>
          </w:p>
        </w:tc>
      </w:tr>
      <w:tr w:rsidR="00C55F5C" w:rsidRPr="00681130" w14:paraId="794BD818" w14:textId="77777777" w:rsidTr="006E3274">
        <w:tc>
          <w:tcPr>
            <w:tcW w:w="2695" w:type="dxa"/>
          </w:tcPr>
          <w:p w14:paraId="1B5EE44C" w14:textId="77777777" w:rsidR="00C55F5C" w:rsidRPr="00681130" w:rsidRDefault="00C55F5C" w:rsidP="006E3274">
            <w:pPr>
              <w:pStyle w:val="ListParagraph"/>
              <w:numPr>
                <w:ilvl w:val="0"/>
                <w:numId w:val="17"/>
              </w:numPr>
              <w:rPr>
                <w:rFonts w:asciiTheme="majorHAnsi" w:hAnsiTheme="majorHAnsi" w:cstheme="majorHAnsi"/>
                <w:sz w:val="20"/>
                <w:szCs w:val="20"/>
              </w:rPr>
            </w:pPr>
            <w:r w:rsidRPr="00681130">
              <w:rPr>
                <w:rFonts w:asciiTheme="majorHAnsi" w:hAnsiTheme="majorHAnsi" w:cstheme="majorHAnsi"/>
                <w:sz w:val="20"/>
                <w:szCs w:val="20"/>
              </w:rPr>
              <w:t>Estimate volume of distribution (Vd, L)</w:t>
            </w:r>
          </w:p>
        </w:tc>
        <w:tc>
          <w:tcPr>
            <w:tcW w:w="4494" w:type="dxa"/>
          </w:tcPr>
          <w:p w14:paraId="2269005E" w14:textId="77777777" w:rsidR="00C55F5C" w:rsidRPr="00681130" w:rsidRDefault="00C55F5C" w:rsidP="006E3274">
            <w:pPr>
              <w:jc w:val="center"/>
              <w:rPr>
                <w:rFonts w:asciiTheme="majorHAnsi" w:eastAsia="Calibri" w:hAnsiTheme="majorHAnsi" w:cstheme="majorHAnsi"/>
                <w:sz w:val="20"/>
                <w:szCs w:val="20"/>
              </w:rPr>
            </w:pPr>
            <m:oMathPara>
              <m:oMath>
                <m:r>
                  <w:rPr>
                    <w:rFonts w:ascii="Cambria Math" w:eastAsia="Calibri" w:hAnsi="Cambria Math" w:cstheme="majorHAnsi"/>
                    <w:sz w:val="20"/>
                    <w:szCs w:val="20"/>
                  </w:rPr>
                  <m:t>Vd=0.7 L/kg</m:t>
                </m:r>
              </m:oMath>
            </m:oMathPara>
          </w:p>
        </w:tc>
        <w:tc>
          <w:tcPr>
            <w:tcW w:w="2161" w:type="dxa"/>
          </w:tcPr>
          <w:p w14:paraId="313FD7F0" w14:textId="77777777" w:rsidR="00C55F5C" w:rsidRPr="00681130" w:rsidRDefault="00C55F5C" w:rsidP="006E3274">
            <w:pPr>
              <w:jc w:val="center"/>
              <w:rPr>
                <w:rFonts w:asciiTheme="majorHAnsi" w:eastAsia="Calibri" w:hAnsiTheme="majorHAnsi" w:cstheme="majorHAnsi"/>
                <w:sz w:val="20"/>
                <w:szCs w:val="20"/>
              </w:rPr>
            </w:pPr>
          </w:p>
        </w:tc>
      </w:tr>
      <w:tr w:rsidR="00C55F5C" w:rsidRPr="00681130" w14:paraId="07682BDE" w14:textId="77777777" w:rsidTr="006E3274">
        <w:tc>
          <w:tcPr>
            <w:tcW w:w="2695" w:type="dxa"/>
          </w:tcPr>
          <w:p w14:paraId="6DADFC9D" w14:textId="77777777" w:rsidR="00C55F5C" w:rsidRPr="00681130" w:rsidRDefault="00C55F5C" w:rsidP="006E3274">
            <w:pPr>
              <w:pStyle w:val="ListParagraph"/>
              <w:numPr>
                <w:ilvl w:val="0"/>
                <w:numId w:val="17"/>
              </w:numPr>
              <w:rPr>
                <w:rFonts w:asciiTheme="majorHAnsi" w:hAnsiTheme="majorHAnsi" w:cstheme="majorHAnsi"/>
                <w:sz w:val="20"/>
                <w:szCs w:val="20"/>
              </w:rPr>
            </w:pPr>
            <w:r w:rsidRPr="00681130">
              <w:rPr>
                <w:rFonts w:asciiTheme="majorHAnsi" w:hAnsiTheme="majorHAnsi" w:cstheme="majorHAnsi"/>
                <w:sz w:val="20"/>
                <w:szCs w:val="20"/>
              </w:rPr>
              <w:t>Estimate rate of elimination (K</w:t>
            </w:r>
            <w:r w:rsidRPr="00681130">
              <w:rPr>
                <w:rFonts w:asciiTheme="majorHAnsi" w:hAnsiTheme="majorHAnsi" w:cstheme="majorHAnsi"/>
                <w:sz w:val="20"/>
                <w:szCs w:val="20"/>
                <w:vertAlign w:val="subscript"/>
              </w:rPr>
              <w:t>e</w:t>
            </w:r>
            <w:r w:rsidRPr="00681130">
              <w:rPr>
                <w:rFonts w:asciiTheme="majorHAnsi" w:hAnsiTheme="majorHAnsi" w:cstheme="majorHAnsi"/>
                <w:sz w:val="20"/>
                <w:szCs w:val="20"/>
              </w:rPr>
              <w:t>, h</w:t>
            </w:r>
            <w:r w:rsidRPr="00681130">
              <w:rPr>
                <w:rFonts w:asciiTheme="majorHAnsi" w:hAnsiTheme="majorHAnsi" w:cstheme="majorHAnsi"/>
                <w:sz w:val="20"/>
                <w:szCs w:val="20"/>
                <w:vertAlign w:val="superscript"/>
              </w:rPr>
              <w:t>-1</w:t>
            </w:r>
            <w:r w:rsidRPr="00681130">
              <w:rPr>
                <w:rFonts w:asciiTheme="majorHAnsi" w:hAnsiTheme="majorHAnsi" w:cstheme="majorHAnsi"/>
                <w:sz w:val="20"/>
                <w:szCs w:val="20"/>
              </w:rPr>
              <w:t>)</w:t>
            </w:r>
          </w:p>
        </w:tc>
        <w:tc>
          <w:tcPr>
            <w:tcW w:w="4494" w:type="dxa"/>
          </w:tcPr>
          <w:p w14:paraId="46C10274" w14:textId="77777777" w:rsidR="00C55F5C" w:rsidRPr="00681130" w:rsidRDefault="00C55F5C" w:rsidP="006E3274">
            <w:pPr>
              <w:jc w:val="center"/>
              <w:rPr>
                <w:rFonts w:asciiTheme="majorHAnsi" w:eastAsia="Calibri" w:hAnsiTheme="majorHAnsi" w:cstheme="majorHAnsi"/>
                <w:sz w:val="20"/>
                <w:szCs w:val="20"/>
              </w:rPr>
            </w:pPr>
            <m:oMathPara>
              <m:oMath>
                <m:r>
                  <w:rPr>
                    <w:rFonts w:ascii="Cambria Math" w:eastAsia="Calibri" w:hAnsi="Cambria Math" w:cstheme="majorHAnsi"/>
                    <w:sz w:val="20"/>
                    <w:szCs w:val="20"/>
                  </w:rPr>
                  <m:t>Ke=0.00083*CrCL+ 0.0044</m:t>
                </m:r>
              </m:oMath>
            </m:oMathPara>
          </w:p>
          <w:p w14:paraId="7587F9DF" w14:textId="77777777" w:rsidR="00C55F5C" w:rsidRPr="00681130" w:rsidRDefault="00C55F5C" w:rsidP="006E3274">
            <w:pPr>
              <w:jc w:val="center"/>
              <w:rPr>
                <w:rFonts w:asciiTheme="majorHAnsi" w:eastAsia="Calibri" w:hAnsiTheme="majorHAnsi" w:cstheme="majorHAnsi"/>
                <w:sz w:val="20"/>
                <w:szCs w:val="20"/>
              </w:rPr>
            </w:pPr>
            <w:r w:rsidRPr="00681130">
              <w:rPr>
                <w:rFonts w:asciiTheme="majorHAnsi" w:eastAsia="Calibri" w:hAnsiTheme="majorHAnsi" w:cstheme="majorHAnsi"/>
                <w:sz w:val="20"/>
                <w:szCs w:val="20"/>
              </w:rPr>
              <w:t>OR</w:t>
            </w:r>
          </w:p>
          <w:p w14:paraId="7C89E921" w14:textId="77777777" w:rsidR="00C55F5C" w:rsidRPr="00681130" w:rsidRDefault="00C55F5C" w:rsidP="006E3274">
            <w:pPr>
              <w:jc w:val="center"/>
              <w:rPr>
                <w:rFonts w:asciiTheme="majorHAnsi" w:eastAsia="Calibri" w:hAnsiTheme="majorHAnsi" w:cstheme="majorHAnsi"/>
                <w:sz w:val="20"/>
                <w:szCs w:val="20"/>
              </w:rPr>
            </w:pPr>
            <m:oMathPara>
              <m:oMath>
                <m:r>
                  <w:rPr>
                    <w:rFonts w:ascii="Cambria Math" w:eastAsia="Calibri" w:hAnsi="Cambria Math" w:cstheme="majorHAnsi"/>
                    <w:sz w:val="20"/>
                    <w:szCs w:val="20"/>
                  </w:rPr>
                  <m:t xml:space="preserve">Ke= </m:t>
                </m:r>
                <m:f>
                  <m:fPr>
                    <m:ctrlPr>
                      <w:rPr>
                        <w:rFonts w:ascii="Cambria Math" w:eastAsia="Calibri" w:hAnsi="Cambria Math" w:cstheme="majorHAnsi"/>
                        <w:i/>
                        <w:sz w:val="20"/>
                        <w:szCs w:val="20"/>
                      </w:rPr>
                    </m:ctrlPr>
                  </m:fPr>
                  <m:num>
                    <m:r>
                      <w:rPr>
                        <w:rFonts w:ascii="Cambria Math" w:eastAsia="Calibri" w:hAnsi="Cambria Math" w:cstheme="majorHAnsi"/>
                        <w:sz w:val="20"/>
                        <w:szCs w:val="20"/>
                      </w:rPr>
                      <m:t>CL</m:t>
                    </m:r>
                  </m:num>
                  <m:den>
                    <m:r>
                      <w:rPr>
                        <w:rFonts w:ascii="Cambria Math" w:eastAsia="Calibri" w:hAnsi="Cambria Math" w:cstheme="majorHAnsi"/>
                        <w:sz w:val="20"/>
                        <w:szCs w:val="20"/>
                      </w:rPr>
                      <m:t>Vd</m:t>
                    </m:r>
                  </m:den>
                </m:f>
              </m:oMath>
            </m:oMathPara>
          </w:p>
        </w:tc>
        <w:tc>
          <w:tcPr>
            <w:tcW w:w="2161" w:type="dxa"/>
          </w:tcPr>
          <w:p w14:paraId="51C18069" w14:textId="77777777" w:rsidR="00C55F5C" w:rsidRPr="00681130" w:rsidRDefault="00C55F5C" w:rsidP="006E3274">
            <w:pPr>
              <w:jc w:val="center"/>
              <w:rPr>
                <w:rFonts w:asciiTheme="majorHAnsi" w:eastAsia="Calibri" w:hAnsiTheme="majorHAnsi" w:cstheme="majorHAnsi"/>
                <w:sz w:val="20"/>
                <w:szCs w:val="20"/>
              </w:rPr>
            </w:pPr>
          </w:p>
        </w:tc>
      </w:tr>
      <w:tr w:rsidR="00C55F5C" w:rsidRPr="00681130" w14:paraId="7A1C4D2D" w14:textId="77777777" w:rsidTr="006E3274">
        <w:tc>
          <w:tcPr>
            <w:tcW w:w="2695" w:type="dxa"/>
          </w:tcPr>
          <w:p w14:paraId="42679075" w14:textId="77777777" w:rsidR="00C55F5C" w:rsidRPr="00681130" w:rsidRDefault="00C55F5C" w:rsidP="006E3274">
            <w:pPr>
              <w:pStyle w:val="ListParagraph"/>
              <w:numPr>
                <w:ilvl w:val="0"/>
                <w:numId w:val="17"/>
              </w:numPr>
              <w:rPr>
                <w:rFonts w:asciiTheme="majorHAnsi" w:hAnsiTheme="majorHAnsi" w:cstheme="majorHAnsi"/>
                <w:sz w:val="20"/>
                <w:szCs w:val="20"/>
              </w:rPr>
            </w:pPr>
            <w:r w:rsidRPr="00681130">
              <w:rPr>
                <w:rFonts w:asciiTheme="majorHAnsi" w:hAnsiTheme="majorHAnsi" w:cstheme="majorHAnsi"/>
                <w:sz w:val="20"/>
                <w:szCs w:val="20"/>
              </w:rPr>
              <w:t>Estimate half-life (T1/2, h)</w:t>
            </w:r>
          </w:p>
        </w:tc>
        <w:tc>
          <w:tcPr>
            <w:tcW w:w="4494" w:type="dxa"/>
          </w:tcPr>
          <w:p w14:paraId="1A1DA3CF" w14:textId="77777777" w:rsidR="00C55F5C" w:rsidRPr="00681130" w:rsidRDefault="00C55F5C" w:rsidP="006E3274">
            <w:pPr>
              <w:jc w:val="center"/>
              <w:rPr>
                <w:rFonts w:asciiTheme="majorHAnsi" w:eastAsia="Calibri" w:hAnsiTheme="majorHAnsi" w:cstheme="majorHAnsi"/>
                <w:sz w:val="20"/>
                <w:szCs w:val="20"/>
              </w:rPr>
            </w:pPr>
            <m:oMathPara>
              <m:oMath>
                <m:r>
                  <w:rPr>
                    <w:rFonts w:ascii="Cambria Math" w:eastAsia="Calibri" w:hAnsi="Cambria Math" w:cstheme="majorHAnsi"/>
                    <w:sz w:val="20"/>
                    <w:szCs w:val="20"/>
                  </w:rPr>
                  <m:t>T1/2=</m:t>
                </m:r>
                <m:f>
                  <m:fPr>
                    <m:ctrlPr>
                      <w:rPr>
                        <w:rFonts w:ascii="Cambria Math" w:eastAsia="Calibri" w:hAnsi="Cambria Math" w:cstheme="majorHAnsi"/>
                        <w:i/>
                        <w:sz w:val="20"/>
                        <w:szCs w:val="20"/>
                      </w:rPr>
                    </m:ctrlPr>
                  </m:fPr>
                  <m:num>
                    <m:r>
                      <w:rPr>
                        <w:rFonts w:ascii="Cambria Math" w:eastAsia="Calibri" w:hAnsi="Cambria Math" w:cstheme="majorHAnsi"/>
                        <w:sz w:val="20"/>
                        <w:szCs w:val="20"/>
                      </w:rPr>
                      <m:t>0.693</m:t>
                    </m:r>
                  </m:num>
                  <m:den>
                    <m:r>
                      <w:rPr>
                        <w:rFonts w:ascii="Cambria Math" w:eastAsia="Calibri" w:hAnsi="Cambria Math" w:cstheme="majorHAnsi"/>
                        <w:sz w:val="20"/>
                        <w:szCs w:val="20"/>
                      </w:rPr>
                      <m:t>Ke</m:t>
                    </m:r>
                  </m:den>
                </m:f>
              </m:oMath>
            </m:oMathPara>
          </w:p>
        </w:tc>
        <w:tc>
          <w:tcPr>
            <w:tcW w:w="2161" w:type="dxa"/>
          </w:tcPr>
          <w:p w14:paraId="7E2204BA" w14:textId="77777777" w:rsidR="00C55F5C" w:rsidRPr="00681130" w:rsidRDefault="00C55F5C" w:rsidP="006E3274">
            <w:pPr>
              <w:jc w:val="center"/>
              <w:rPr>
                <w:rFonts w:asciiTheme="majorHAnsi" w:eastAsia="Calibri" w:hAnsiTheme="majorHAnsi" w:cstheme="majorHAnsi"/>
                <w:sz w:val="20"/>
                <w:szCs w:val="20"/>
              </w:rPr>
            </w:pPr>
          </w:p>
        </w:tc>
      </w:tr>
      <w:tr w:rsidR="00C55F5C" w:rsidRPr="00681130" w14:paraId="6A6E0322" w14:textId="77777777" w:rsidTr="006E3274">
        <w:tc>
          <w:tcPr>
            <w:tcW w:w="2695" w:type="dxa"/>
          </w:tcPr>
          <w:p w14:paraId="2AC9B00F" w14:textId="77777777" w:rsidR="00C55F5C" w:rsidRPr="00681130" w:rsidRDefault="00C55F5C" w:rsidP="006E3274">
            <w:pPr>
              <w:pStyle w:val="ListParagraph"/>
              <w:numPr>
                <w:ilvl w:val="0"/>
                <w:numId w:val="17"/>
              </w:numPr>
              <w:rPr>
                <w:rFonts w:asciiTheme="majorHAnsi" w:hAnsiTheme="majorHAnsi" w:cstheme="majorHAnsi"/>
                <w:sz w:val="20"/>
                <w:szCs w:val="20"/>
              </w:rPr>
            </w:pPr>
            <w:r w:rsidRPr="00681130">
              <w:rPr>
                <w:rFonts w:asciiTheme="majorHAnsi" w:hAnsiTheme="majorHAnsi" w:cstheme="majorHAnsi"/>
                <w:sz w:val="20"/>
                <w:szCs w:val="20"/>
              </w:rPr>
              <w:t>Estimate Dose</w:t>
            </w:r>
            <w:r w:rsidRPr="00681130">
              <w:rPr>
                <w:rFonts w:asciiTheme="majorHAnsi" w:hAnsiTheme="majorHAnsi" w:cstheme="majorHAnsi"/>
                <w:sz w:val="20"/>
                <w:szCs w:val="20"/>
                <w:vertAlign w:val="subscript"/>
              </w:rPr>
              <w:t>24</w:t>
            </w:r>
            <w:r w:rsidRPr="00681130">
              <w:rPr>
                <w:rFonts w:asciiTheme="majorHAnsi" w:hAnsiTheme="majorHAnsi" w:cstheme="majorHAnsi"/>
                <w:sz w:val="20"/>
                <w:szCs w:val="20"/>
              </w:rPr>
              <w:t xml:space="preserve"> using target AUC</w:t>
            </w:r>
            <w:r w:rsidRPr="00681130">
              <w:rPr>
                <w:rFonts w:asciiTheme="majorHAnsi" w:hAnsiTheme="majorHAnsi" w:cstheme="majorHAnsi"/>
                <w:sz w:val="20"/>
                <w:szCs w:val="20"/>
                <w:vertAlign w:val="subscript"/>
              </w:rPr>
              <w:t xml:space="preserve">24 </w:t>
            </w:r>
            <w:r w:rsidRPr="00681130">
              <w:rPr>
                <w:rFonts w:asciiTheme="majorHAnsi" w:hAnsiTheme="majorHAnsi" w:cstheme="majorHAnsi"/>
                <w:sz w:val="20"/>
                <w:szCs w:val="20"/>
              </w:rPr>
              <w:t>(mg)</w:t>
            </w:r>
          </w:p>
        </w:tc>
        <w:tc>
          <w:tcPr>
            <w:tcW w:w="4494" w:type="dxa"/>
          </w:tcPr>
          <w:p w14:paraId="1673FAE8" w14:textId="77777777" w:rsidR="00C55F5C" w:rsidRPr="00681130" w:rsidRDefault="00C55F5C" w:rsidP="006E3274">
            <w:pPr>
              <w:jc w:val="center"/>
              <w:rPr>
                <w:rFonts w:asciiTheme="majorHAnsi" w:eastAsia="Calibri" w:hAnsiTheme="majorHAnsi" w:cstheme="majorHAnsi"/>
                <w:sz w:val="20"/>
                <w:szCs w:val="20"/>
              </w:rPr>
            </w:pPr>
            <m:oMath>
              <m:r>
                <w:rPr>
                  <w:rFonts w:ascii="Cambria Math" w:eastAsia="Calibri" w:hAnsi="Cambria Math" w:cstheme="majorHAnsi"/>
                  <w:sz w:val="20"/>
                  <w:szCs w:val="20"/>
                </w:rPr>
                <m:t>Dose24=CL*AUC</m:t>
              </m:r>
            </m:oMath>
            <w:r w:rsidRPr="00681130">
              <w:rPr>
                <w:rFonts w:asciiTheme="majorHAnsi" w:eastAsia="Calibri" w:hAnsiTheme="majorHAnsi" w:cstheme="majorHAnsi"/>
                <w:sz w:val="20"/>
                <w:szCs w:val="20"/>
              </w:rPr>
              <w:t>24</w:t>
            </w:r>
          </w:p>
          <w:p w14:paraId="4D320EF8" w14:textId="138F9443" w:rsidR="00C55F5C" w:rsidRPr="00681130" w:rsidRDefault="00C55F5C" w:rsidP="006E3274">
            <w:pPr>
              <w:jc w:val="center"/>
              <w:rPr>
                <w:rFonts w:asciiTheme="majorHAnsi" w:eastAsia="Calibri" w:hAnsiTheme="majorHAnsi" w:cstheme="majorHAnsi"/>
                <w:sz w:val="20"/>
                <w:szCs w:val="20"/>
              </w:rPr>
            </w:pPr>
          </w:p>
        </w:tc>
        <w:tc>
          <w:tcPr>
            <w:tcW w:w="2161" w:type="dxa"/>
          </w:tcPr>
          <w:p w14:paraId="14751331" w14:textId="77777777" w:rsidR="00C55F5C" w:rsidRPr="00681130" w:rsidRDefault="00C55F5C" w:rsidP="006E3274">
            <w:pPr>
              <w:jc w:val="center"/>
              <w:rPr>
                <w:rFonts w:asciiTheme="majorHAnsi" w:eastAsia="Calibri" w:hAnsiTheme="majorHAnsi" w:cstheme="majorHAnsi"/>
                <w:sz w:val="20"/>
                <w:szCs w:val="20"/>
              </w:rPr>
            </w:pPr>
          </w:p>
        </w:tc>
      </w:tr>
      <w:tr w:rsidR="00C55F5C" w:rsidRPr="00681130" w14:paraId="284EF5B0" w14:textId="77777777" w:rsidTr="006E3274">
        <w:tc>
          <w:tcPr>
            <w:tcW w:w="2695" w:type="dxa"/>
          </w:tcPr>
          <w:p w14:paraId="197B225F" w14:textId="77777777" w:rsidR="00C55F5C" w:rsidRPr="00681130" w:rsidRDefault="00C55F5C" w:rsidP="006E3274">
            <w:pPr>
              <w:pStyle w:val="ListParagraph"/>
              <w:numPr>
                <w:ilvl w:val="0"/>
                <w:numId w:val="17"/>
              </w:numPr>
              <w:rPr>
                <w:rFonts w:asciiTheme="majorHAnsi" w:hAnsiTheme="majorHAnsi" w:cstheme="majorHAnsi"/>
                <w:sz w:val="20"/>
                <w:szCs w:val="20"/>
              </w:rPr>
            </w:pPr>
            <w:r w:rsidRPr="00681130">
              <w:rPr>
                <w:rFonts w:asciiTheme="majorHAnsi" w:hAnsiTheme="majorHAnsi" w:cstheme="majorHAnsi"/>
                <w:sz w:val="20"/>
                <w:szCs w:val="20"/>
              </w:rPr>
              <w:t>Estimate Tau (h)</w:t>
            </w:r>
          </w:p>
        </w:tc>
        <w:tc>
          <w:tcPr>
            <w:tcW w:w="4494" w:type="dxa"/>
          </w:tcPr>
          <w:p w14:paraId="23E24305" w14:textId="77777777" w:rsidR="00C55F5C" w:rsidRPr="00681130" w:rsidRDefault="00C55F5C" w:rsidP="006E3274">
            <w:pPr>
              <w:jc w:val="center"/>
              <w:rPr>
                <w:rFonts w:asciiTheme="majorHAnsi" w:eastAsia="Calibri" w:hAnsiTheme="majorHAnsi" w:cstheme="majorHAnsi"/>
                <w:sz w:val="20"/>
                <w:szCs w:val="20"/>
              </w:rPr>
            </w:pPr>
            <m:oMathPara>
              <m:oMath>
                <m:r>
                  <w:rPr>
                    <w:rFonts w:ascii="Cambria Math" w:eastAsia="Calibri" w:hAnsi="Cambria Math" w:cstheme="majorHAnsi"/>
                    <w:sz w:val="20"/>
                    <w:szCs w:val="20"/>
                  </w:rPr>
                  <m:t xml:space="preserve">Tau= </m:t>
                </m:r>
                <m:f>
                  <m:fPr>
                    <m:ctrlPr>
                      <w:rPr>
                        <w:rFonts w:ascii="Cambria Math" w:eastAsia="Calibri" w:hAnsi="Cambria Math" w:cstheme="majorHAnsi"/>
                        <w:i/>
                        <w:sz w:val="20"/>
                        <w:szCs w:val="20"/>
                      </w:rPr>
                    </m:ctrlPr>
                  </m:fPr>
                  <m:num>
                    <m:r>
                      <m:rPr>
                        <m:sty m:val="p"/>
                      </m:rPr>
                      <w:rPr>
                        <w:rFonts w:ascii="Cambria Math" w:eastAsia="Calibri" w:hAnsi="Cambria Math" w:cstheme="majorHAnsi"/>
                        <w:sz w:val="20"/>
                        <w:szCs w:val="20"/>
                      </w:rPr>
                      <m:t>ln⁡</m:t>
                    </m:r>
                    <m:r>
                      <w:rPr>
                        <w:rFonts w:ascii="Cambria Math" w:eastAsia="Calibri" w:hAnsi="Cambria Math" w:cstheme="majorHAnsi"/>
                        <w:sz w:val="20"/>
                        <w:szCs w:val="20"/>
                      </w:rPr>
                      <m:t>(</m:t>
                    </m:r>
                    <m:f>
                      <m:fPr>
                        <m:ctrlPr>
                          <w:rPr>
                            <w:rFonts w:ascii="Cambria Math" w:eastAsia="Calibri" w:hAnsi="Cambria Math" w:cstheme="majorHAnsi"/>
                            <w:i/>
                            <w:sz w:val="20"/>
                            <w:szCs w:val="20"/>
                          </w:rPr>
                        </m:ctrlPr>
                      </m:fPr>
                      <m:num>
                        <m:r>
                          <w:rPr>
                            <w:rFonts w:ascii="Cambria Math" w:eastAsia="Calibri" w:hAnsi="Cambria Math" w:cstheme="majorHAnsi"/>
                            <w:sz w:val="20"/>
                            <w:szCs w:val="20"/>
                          </w:rPr>
                          <m:t>Cmax</m:t>
                        </m:r>
                      </m:num>
                      <m:den>
                        <m:r>
                          <w:rPr>
                            <w:rFonts w:ascii="Cambria Math" w:eastAsia="Calibri" w:hAnsi="Cambria Math" w:cstheme="majorHAnsi"/>
                            <w:sz w:val="20"/>
                            <w:szCs w:val="20"/>
                          </w:rPr>
                          <m:t>Ctr</m:t>
                        </m:r>
                      </m:den>
                    </m:f>
                    <m:r>
                      <w:rPr>
                        <w:rFonts w:ascii="Cambria Math" w:eastAsia="Calibri" w:hAnsi="Cambria Math" w:cstheme="majorHAnsi"/>
                        <w:sz w:val="20"/>
                        <w:szCs w:val="20"/>
                      </w:rPr>
                      <m:t>)</m:t>
                    </m:r>
                  </m:num>
                  <m:den>
                    <m:r>
                      <w:rPr>
                        <w:rFonts w:ascii="Cambria Math" w:eastAsia="Calibri" w:hAnsi="Cambria Math" w:cstheme="majorHAnsi"/>
                        <w:sz w:val="20"/>
                        <w:szCs w:val="20"/>
                      </w:rPr>
                      <m:t>Ke</m:t>
                    </m:r>
                  </m:den>
                </m:f>
                <m:r>
                  <w:rPr>
                    <w:rFonts w:ascii="Cambria Math" w:eastAsia="Calibri" w:hAnsi="Cambria Math" w:cstheme="majorHAnsi"/>
                    <w:sz w:val="20"/>
                    <w:szCs w:val="20"/>
                  </w:rPr>
                  <m:t>+tinf</m:t>
                </m:r>
              </m:oMath>
            </m:oMathPara>
          </w:p>
        </w:tc>
        <w:tc>
          <w:tcPr>
            <w:tcW w:w="2161" w:type="dxa"/>
          </w:tcPr>
          <w:p w14:paraId="3A31EC9C" w14:textId="77777777" w:rsidR="00C55F5C" w:rsidRPr="00681130" w:rsidRDefault="00C55F5C" w:rsidP="006E3274">
            <w:pPr>
              <w:jc w:val="center"/>
              <w:rPr>
                <w:rFonts w:asciiTheme="majorHAnsi" w:eastAsia="Calibri" w:hAnsiTheme="majorHAnsi" w:cstheme="majorHAnsi"/>
                <w:sz w:val="20"/>
                <w:szCs w:val="20"/>
              </w:rPr>
            </w:pPr>
            <w:r w:rsidRPr="00681130">
              <w:rPr>
                <w:rFonts w:asciiTheme="majorHAnsi" w:eastAsia="Calibri" w:hAnsiTheme="majorHAnsi" w:cstheme="majorHAnsi"/>
                <w:sz w:val="20"/>
                <w:szCs w:val="20"/>
              </w:rPr>
              <w:t>tinf=Time of infusion</w:t>
            </w:r>
          </w:p>
        </w:tc>
      </w:tr>
      <w:tr w:rsidR="00C55F5C" w:rsidRPr="00681130" w14:paraId="5EF6C354" w14:textId="77777777" w:rsidTr="006E3274">
        <w:tc>
          <w:tcPr>
            <w:tcW w:w="2695" w:type="dxa"/>
          </w:tcPr>
          <w:p w14:paraId="783432AE" w14:textId="77777777" w:rsidR="00C55F5C" w:rsidRPr="00681130" w:rsidRDefault="00C55F5C" w:rsidP="006E3274">
            <w:pPr>
              <w:pStyle w:val="ListParagraph"/>
              <w:numPr>
                <w:ilvl w:val="0"/>
                <w:numId w:val="17"/>
              </w:numPr>
              <w:rPr>
                <w:rFonts w:asciiTheme="majorHAnsi" w:hAnsiTheme="majorHAnsi" w:cstheme="majorHAnsi"/>
                <w:sz w:val="20"/>
                <w:szCs w:val="20"/>
              </w:rPr>
            </w:pPr>
            <w:r w:rsidRPr="00681130">
              <w:rPr>
                <w:rFonts w:asciiTheme="majorHAnsi" w:hAnsiTheme="majorHAnsi" w:cstheme="majorHAnsi"/>
                <w:sz w:val="20"/>
                <w:szCs w:val="20"/>
              </w:rPr>
              <w:t>Estimate new MD (mg)</w:t>
            </w:r>
          </w:p>
        </w:tc>
        <w:tc>
          <w:tcPr>
            <w:tcW w:w="4494" w:type="dxa"/>
          </w:tcPr>
          <w:p w14:paraId="058943F0" w14:textId="77777777" w:rsidR="00C55F5C" w:rsidRPr="00681130" w:rsidRDefault="00C55F5C" w:rsidP="006E3274">
            <w:pPr>
              <w:jc w:val="center"/>
              <w:rPr>
                <w:rFonts w:asciiTheme="majorHAnsi" w:eastAsia="Calibri" w:hAnsiTheme="majorHAnsi" w:cstheme="majorHAnsi"/>
                <w:sz w:val="20"/>
                <w:szCs w:val="20"/>
              </w:rPr>
            </w:pPr>
            <m:oMathPara>
              <m:oMath>
                <m:r>
                  <w:rPr>
                    <w:rFonts w:ascii="Cambria Math" w:eastAsia="Calibri" w:hAnsi="Cambria Math" w:cstheme="majorHAnsi"/>
                    <w:sz w:val="20"/>
                    <w:szCs w:val="20"/>
                  </w:rPr>
                  <m:t xml:space="preserve">MD= </m:t>
                </m:r>
                <m:f>
                  <m:fPr>
                    <m:ctrlPr>
                      <w:rPr>
                        <w:rFonts w:ascii="Cambria Math" w:eastAsia="Calibri" w:hAnsi="Cambria Math" w:cstheme="majorHAnsi"/>
                        <w:i/>
                        <w:sz w:val="20"/>
                        <w:szCs w:val="20"/>
                      </w:rPr>
                    </m:ctrlPr>
                  </m:fPr>
                  <m:num>
                    <m:r>
                      <w:rPr>
                        <w:rFonts w:ascii="Cambria Math" w:eastAsia="Calibri" w:hAnsi="Cambria Math" w:cstheme="majorHAnsi"/>
                        <w:sz w:val="20"/>
                        <w:szCs w:val="20"/>
                      </w:rPr>
                      <m:t>Dose24</m:t>
                    </m:r>
                  </m:num>
                  <m:den>
                    <m:f>
                      <m:fPr>
                        <m:type m:val="lin"/>
                        <m:ctrlPr>
                          <w:rPr>
                            <w:rFonts w:ascii="Cambria Math" w:eastAsia="Calibri" w:hAnsi="Cambria Math" w:cstheme="majorHAnsi"/>
                            <w:i/>
                            <w:sz w:val="20"/>
                            <w:szCs w:val="20"/>
                          </w:rPr>
                        </m:ctrlPr>
                      </m:fPr>
                      <m:num>
                        <m:r>
                          <w:rPr>
                            <w:rFonts w:ascii="Cambria Math" w:eastAsia="Calibri" w:hAnsi="Cambria Math" w:cstheme="majorHAnsi"/>
                            <w:sz w:val="20"/>
                            <w:szCs w:val="20"/>
                          </w:rPr>
                          <m:t>24</m:t>
                        </m:r>
                      </m:num>
                      <m:den>
                        <m:r>
                          <w:rPr>
                            <w:rFonts w:ascii="Cambria Math" w:eastAsia="Calibri" w:hAnsi="Cambria Math" w:cstheme="majorHAnsi"/>
                            <w:sz w:val="20"/>
                            <w:szCs w:val="20"/>
                          </w:rPr>
                          <m:t>Tau</m:t>
                        </m:r>
                      </m:den>
                    </m:f>
                  </m:den>
                </m:f>
              </m:oMath>
            </m:oMathPara>
          </w:p>
        </w:tc>
        <w:tc>
          <w:tcPr>
            <w:tcW w:w="2161" w:type="dxa"/>
          </w:tcPr>
          <w:p w14:paraId="7DFFF213" w14:textId="77777777" w:rsidR="00C55F5C" w:rsidRPr="00681130" w:rsidRDefault="00C55F5C" w:rsidP="006E3274">
            <w:pPr>
              <w:jc w:val="center"/>
              <w:rPr>
                <w:rFonts w:asciiTheme="majorHAnsi" w:eastAsia="Calibri" w:hAnsiTheme="majorHAnsi" w:cstheme="majorHAnsi"/>
                <w:sz w:val="20"/>
                <w:szCs w:val="20"/>
              </w:rPr>
            </w:pPr>
          </w:p>
        </w:tc>
      </w:tr>
      <w:tr w:rsidR="00C55F5C" w:rsidRPr="00681130" w14:paraId="03A49B55" w14:textId="77777777" w:rsidTr="006E3274">
        <w:tc>
          <w:tcPr>
            <w:tcW w:w="2695" w:type="dxa"/>
          </w:tcPr>
          <w:p w14:paraId="3BB0543E" w14:textId="77777777" w:rsidR="00C55F5C" w:rsidRPr="00681130" w:rsidRDefault="00C55F5C" w:rsidP="006E3274">
            <w:pPr>
              <w:pStyle w:val="ListParagraph"/>
              <w:numPr>
                <w:ilvl w:val="0"/>
                <w:numId w:val="17"/>
              </w:numPr>
              <w:rPr>
                <w:rFonts w:asciiTheme="majorHAnsi" w:hAnsiTheme="majorHAnsi" w:cstheme="majorHAnsi"/>
                <w:sz w:val="20"/>
                <w:szCs w:val="20"/>
              </w:rPr>
            </w:pPr>
            <w:r w:rsidRPr="00681130">
              <w:rPr>
                <w:rFonts w:asciiTheme="majorHAnsi" w:hAnsiTheme="majorHAnsi" w:cstheme="majorHAnsi"/>
                <w:sz w:val="20"/>
                <w:szCs w:val="20"/>
              </w:rPr>
              <w:t>Estimate new C</w:t>
            </w:r>
            <w:r w:rsidRPr="00681130">
              <w:rPr>
                <w:rFonts w:asciiTheme="majorHAnsi" w:hAnsiTheme="majorHAnsi" w:cstheme="majorHAnsi"/>
                <w:sz w:val="20"/>
                <w:szCs w:val="20"/>
              </w:rPr>
              <w:softHyphen/>
            </w:r>
            <w:r w:rsidRPr="00681130">
              <w:rPr>
                <w:rFonts w:asciiTheme="majorHAnsi" w:hAnsiTheme="majorHAnsi" w:cstheme="majorHAnsi"/>
                <w:sz w:val="20"/>
                <w:szCs w:val="20"/>
                <w:vertAlign w:val="subscript"/>
              </w:rPr>
              <w:t>max</w:t>
            </w:r>
            <w:r w:rsidRPr="00681130">
              <w:rPr>
                <w:rFonts w:asciiTheme="majorHAnsi" w:hAnsiTheme="majorHAnsi" w:cstheme="majorHAnsi"/>
                <w:sz w:val="20"/>
                <w:szCs w:val="20"/>
              </w:rPr>
              <w:t xml:space="preserve"> (mg/L)</w:t>
            </w:r>
          </w:p>
        </w:tc>
        <w:tc>
          <w:tcPr>
            <w:tcW w:w="4494" w:type="dxa"/>
          </w:tcPr>
          <w:p w14:paraId="769CA97C" w14:textId="77777777" w:rsidR="00C55F5C" w:rsidRPr="00681130" w:rsidRDefault="00C55F5C" w:rsidP="006E3274">
            <w:pPr>
              <w:jc w:val="center"/>
              <w:rPr>
                <w:rFonts w:asciiTheme="majorHAnsi" w:eastAsia="Calibri" w:hAnsiTheme="majorHAnsi" w:cstheme="majorHAnsi"/>
                <w:sz w:val="20"/>
                <w:szCs w:val="20"/>
              </w:rPr>
            </w:pPr>
            <m:oMathPara>
              <m:oMath>
                <m:r>
                  <w:rPr>
                    <w:rFonts w:ascii="Cambria Math" w:eastAsia="Calibri" w:hAnsi="Cambria Math" w:cstheme="majorHAnsi"/>
                    <w:sz w:val="20"/>
                    <w:szCs w:val="20"/>
                  </w:rPr>
                  <m:t xml:space="preserve">Cmax= </m:t>
                </m:r>
                <m:f>
                  <m:fPr>
                    <m:ctrlPr>
                      <w:rPr>
                        <w:rFonts w:ascii="Cambria Math" w:eastAsia="Calibri" w:hAnsi="Cambria Math" w:cstheme="majorHAnsi"/>
                        <w:i/>
                        <w:sz w:val="20"/>
                        <w:szCs w:val="20"/>
                      </w:rPr>
                    </m:ctrlPr>
                  </m:fPr>
                  <m:num>
                    <m:f>
                      <m:fPr>
                        <m:type m:val="lin"/>
                        <m:ctrlPr>
                          <w:rPr>
                            <w:rFonts w:ascii="Cambria Math" w:eastAsia="Calibri" w:hAnsi="Cambria Math" w:cstheme="majorHAnsi"/>
                            <w:i/>
                            <w:sz w:val="20"/>
                            <w:szCs w:val="20"/>
                          </w:rPr>
                        </m:ctrlPr>
                      </m:fPr>
                      <m:num>
                        <m:r>
                          <w:rPr>
                            <w:rFonts w:ascii="Cambria Math" w:eastAsia="Calibri" w:hAnsi="Cambria Math" w:cstheme="majorHAnsi"/>
                            <w:sz w:val="20"/>
                            <w:szCs w:val="20"/>
                          </w:rPr>
                          <m:t>MD</m:t>
                        </m:r>
                      </m:num>
                      <m:den>
                        <m:r>
                          <w:rPr>
                            <w:rFonts w:ascii="Cambria Math" w:eastAsia="Calibri" w:hAnsi="Cambria Math" w:cstheme="majorHAnsi"/>
                            <w:sz w:val="20"/>
                            <w:szCs w:val="20"/>
                          </w:rPr>
                          <m:t>tinf</m:t>
                        </m:r>
                      </m:den>
                    </m:f>
                  </m:num>
                  <m:den>
                    <m:r>
                      <w:rPr>
                        <w:rFonts w:ascii="Cambria Math" w:eastAsia="Calibri" w:hAnsi="Cambria Math" w:cstheme="majorHAnsi"/>
                        <w:sz w:val="20"/>
                        <w:szCs w:val="20"/>
                      </w:rPr>
                      <m:t>Ke*Vd</m:t>
                    </m:r>
                  </m:den>
                </m:f>
                <m:r>
                  <w:rPr>
                    <w:rFonts w:ascii="Cambria Math" w:eastAsia="Calibri" w:hAnsi="Cambria Math" w:cstheme="majorHAnsi"/>
                    <w:sz w:val="20"/>
                    <w:szCs w:val="20"/>
                  </w:rPr>
                  <m:t>*</m:t>
                </m:r>
                <m:d>
                  <m:dPr>
                    <m:ctrlPr>
                      <w:rPr>
                        <w:rFonts w:ascii="Cambria Math" w:eastAsia="Calibri" w:hAnsi="Cambria Math" w:cstheme="majorHAnsi"/>
                        <w:i/>
                        <w:sz w:val="20"/>
                        <w:szCs w:val="20"/>
                      </w:rPr>
                    </m:ctrlPr>
                  </m:dPr>
                  <m:e>
                    <m:f>
                      <m:fPr>
                        <m:ctrlPr>
                          <w:rPr>
                            <w:rFonts w:ascii="Cambria Math" w:eastAsia="Calibri" w:hAnsi="Cambria Math" w:cstheme="majorHAnsi"/>
                            <w:i/>
                            <w:sz w:val="20"/>
                            <w:szCs w:val="20"/>
                          </w:rPr>
                        </m:ctrlPr>
                      </m:fPr>
                      <m:num>
                        <m:r>
                          <w:rPr>
                            <w:rFonts w:ascii="Cambria Math" w:eastAsia="Calibri" w:hAnsi="Cambria Math" w:cstheme="majorHAnsi"/>
                            <w:sz w:val="20"/>
                            <w:szCs w:val="20"/>
                          </w:rPr>
                          <m:t>1-</m:t>
                        </m:r>
                        <m:sSup>
                          <m:sSupPr>
                            <m:ctrlPr>
                              <w:rPr>
                                <w:rFonts w:ascii="Cambria Math" w:eastAsia="Calibri" w:hAnsi="Cambria Math" w:cstheme="majorHAnsi"/>
                                <w:i/>
                                <w:sz w:val="20"/>
                                <w:szCs w:val="20"/>
                              </w:rPr>
                            </m:ctrlPr>
                          </m:sSupPr>
                          <m:e>
                            <m:r>
                              <w:rPr>
                                <w:rFonts w:ascii="Cambria Math" w:eastAsia="Calibri" w:hAnsi="Cambria Math" w:cstheme="majorHAnsi"/>
                                <w:sz w:val="20"/>
                                <w:szCs w:val="20"/>
                              </w:rPr>
                              <m:t>e</m:t>
                            </m:r>
                          </m:e>
                          <m:sup>
                            <m:r>
                              <w:rPr>
                                <w:rFonts w:ascii="Cambria Math" w:eastAsia="Calibri" w:hAnsi="Cambria Math" w:cstheme="majorHAnsi"/>
                                <w:sz w:val="20"/>
                                <w:szCs w:val="20"/>
                              </w:rPr>
                              <m:t>-Ke*tinf</m:t>
                            </m:r>
                          </m:sup>
                        </m:sSup>
                      </m:num>
                      <m:den>
                        <m:r>
                          <w:rPr>
                            <w:rFonts w:ascii="Cambria Math" w:eastAsia="Calibri" w:hAnsi="Cambria Math" w:cstheme="majorHAnsi"/>
                            <w:sz w:val="20"/>
                            <w:szCs w:val="20"/>
                          </w:rPr>
                          <m:t>1-</m:t>
                        </m:r>
                        <m:sSup>
                          <m:sSupPr>
                            <m:ctrlPr>
                              <w:rPr>
                                <w:rFonts w:ascii="Cambria Math" w:eastAsia="Calibri" w:hAnsi="Cambria Math" w:cstheme="majorHAnsi"/>
                                <w:i/>
                                <w:sz w:val="20"/>
                                <w:szCs w:val="20"/>
                              </w:rPr>
                            </m:ctrlPr>
                          </m:sSupPr>
                          <m:e>
                            <m:r>
                              <w:rPr>
                                <w:rFonts w:ascii="Cambria Math" w:eastAsia="Calibri" w:hAnsi="Cambria Math" w:cstheme="majorHAnsi"/>
                                <w:sz w:val="20"/>
                                <w:szCs w:val="20"/>
                              </w:rPr>
                              <m:t>e</m:t>
                            </m:r>
                          </m:e>
                          <m:sup>
                            <m:r>
                              <w:rPr>
                                <w:rFonts w:ascii="Cambria Math" w:eastAsia="Calibri" w:hAnsi="Cambria Math" w:cstheme="majorHAnsi"/>
                                <w:sz w:val="20"/>
                                <w:szCs w:val="20"/>
                              </w:rPr>
                              <m:t>-Ke*tau</m:t>
                            </m:r>
                          </m:sup>
                        </m:sSup>
                      </m:den>
                    </m:f>
                  </m:e>
                </m:d>
              </m:oMath>
            </m:oMathPara>
          </w:p>
        </w:tc>
        <w:tc>
          <w:tcPr>
            <w:tcW w:w="2161" w:type="dxa"/>
          </w:tcPr>
          <w:p w14:paraId="731EE784" w14:textId="77777777" w:rsidR="00C55F5C" w:rsidRPr="00681130" w:rsidRDefault="00C55F5C" w:rsidP="006E3274">
            <w:pPr>
              <w:jc w:val="center"/>
              <w:rPr>
                <w:rFonts w:asciiTheme="majorHAnsi" w:eastAsia="Calibri" w:hAnsiTheme="majorHAnsi" w:cstheme="majorHAnsi"/>
                <w:sz w:val="20"/>
                <w:szCs w:val="20"/>
              </w:rPr>
            </w:pPr>
          </w:p>
        </w:tc>
      </w:tr>
      <w:tr w:rsidR="00C55F5C" w:rsidRPr="00681130" w14:paraId="5E607337" w14:textId="77777777" w:rsidTr="006E3274">
        <w:tc>
          <w:tcPr>
            <w:tcW w:w="2695" w:type="dxa"/>
          </w:tcPr>
          <w:p w14:paraId="5CE7C067" w14:textId="77777777" w:rsidR="00C55F5C" w:rsidRPr="00681130" w:rsidRDefault="00C55F5C" w:rsidP="006E3274">
            <w:pPr>
              <w:pStyle w:val="ListParagraph"/>
              <w:numPr>
                <w:ilvl w:val="0"/>
                <w:numId w:val="17"/>
              </w:numPr>
              <w:rPr>
                <w:rFonts w:asciiTheme="majorHAnsi" w:hAnsiTheme="majorHAnsi" w:cstheme="majorHAnsi"/>
                <w:sz w:val="20"/>
                <w:szCs w:val="20"/>
              </w:rPr>
            </w:pPr>
            <w:r w:rsidRPr="00681130">
              <w:rPr>
                <w:rFonts w:asciiTheme="majorHAnsi" w:hAnsiTheme="majorHAnsi" w:cstheme="majorHAnsi"/>
                <w:sz w:val="20"/>
                <w:szCs w:val="20"/>
              </w:rPr>
              <w:t>Estimate new Ctr (mg/L)</w:t>
            </w:r>
          </w:p>
        </w:tc>
        <w:tc>
          <w:tcPr>
            <w:tcW w:w="4494" w:type="dxa"/>
          </w:tcPr>
          <w:p w14:paraId="41CD15EC" w14:textId="77777777" w:rsidR="00C55F5C" w:rsidRPr="00681130" w:rsidRDefault="00C55F5C" w:rsidP="006E3274">
            <w:pPr>
              <w:jc w:val="center"/>
              <w:rPr>
                <w:rFonts w:asciiTheme="majorHAnsi" w:eastAsia="Calibri" w:hAnsiTheme="majorHAnsi" w:cstheme="majorHAnsi"/>
                <w:sz w:val="20"/>
                <w:szCs w:val="20"/>
              </w:rPr>
            </w:pPr>
            <m:oMathPara>
              <m:oMath>
                <m:r>
                  <w:rPr>
                    <w:rFonts w:ascii="Cambria Math" w:eastAsia="Calibri" w:hAnsi="Cambria Math" w:cstheme="majorHAnsi"/>
                    <w:sz w:val="20"/>
                    <w:szCs w:val="20"/>
                  </w:rPr>
                  <m:t xml:space="preserve">Ctr=Cmax* </m:t>
                </m:r>
                <m:sSup>
                  <m:sSupPr>
                    <m:ctrlPr>
                      <w:rPr>
                        <w:rFonts w:ascii="Cambria Math" w:eastAsia="Calibri" w:hAnsi="Cambria Math" w:cstheme="majorHAnsi"/>
                        <w:i/>
                        <w:sz w:val="20"/>
                        <w:szCs w:val="20"/>
                      </w:rPr>
                    </m:ctrlPr>
                  </m:sSupPr>
                  <m:e>
                    <m:r>
                      <w:rPr>
                        <w:rFonts w:ascii="Cambria Math" w:eastAsia="Calibri" w:hAnsi="Cambria Math" w:cstheme="majorHAnsi"/>
                        <w:sz w:val="20"/>
                        <w:szCs w:val="20"/>
                      </w:rPr>
                      <m:t>e</m:t>
                    </m:r>
                  </m:e>
                  <m:sup>
                    <m:r>
                      <w:rPr>
                        <w:rFonts w:ascii="Cambria Math" w:eastAsia="Calibri" w:hAnsi="Cambria Math" w:cstheme="majorHAnsi"/>
                        <w:sz w:val="20"/>
                        <w:szCs w:val="20"/>
                      </w:rPr>
                      <m:t>-Ke</m:t>
                    </m:r>
                    <m:d>
                      <m:dPr>
                        <m:ctrlPr>
                          <w:rPr>
                            <w:rFonts w:ascii="Cambria Math" w:eastAsia="Calibri" w:hAnsi="Cambria Math" w:cstheme="majorHAnsi"/>
                            <w:i/>
                            <w:sz w:val="20"/>
                            <w:szCs w:val="20"/>
                          </w:rPr>
                        </m:ctrlPr>
                      </m:dPr>
                      <m:e>
                        <m:r>
                          <w:rPr>
                            <w:rFonts w:ascii="Cambria Math" w:eastAsia="Calibri" w:hAnsi="Cambria Math" w:cstheme="majorHAnsi"/>
                            <w:sz w:val="20"/>
                            <w:szCs w:val="20"/>
                          </w:rPr>
                          <m:t>Tau-tinf</m:t>
                        </m:r>
                      </m:e>
                    </m:d>
                  </m:sup>
                </m:sSup>
              </m:oMath>
            </m:oMathPara>
          </w:p>
        </w:tc>
        <w:tc>
          <w:tcPr>
            <w:tcW w:w="2161" w:type="dxa"/>
          </w:tcPr>
          <w:p w14:paraId="73CEC4CA" w14:textId="77777777" w:rsidR="00C55F5C" w:rsidRPr="00681130" w:rsidRDefault="00C55F5C" w:rsidP="006E3274">
            <w:pPr>
              <w:jc w:val="center"/>
              <w:rPr>
                <w:rFonts w:asciiTheme="majorHAnsi" w:eastAsia="Calibri" w:hAnsiTheme="majorHAnsi" w:cstheme="majorHAnsi"/>
                <w:sz w:val="20"/>
                <w:szCs w:val="20"/>
              </w:rPr>
            </w:pPr>
          </w:p>
        </w:tc>
      </w:tr>
      <w:tr w:rsidR="00C55F5C" w:rsidRPr="00681130" w14:paraId="1DBAD8CB" w14:textId="77777777" w:rsidTr="006E3274">
        <w:tc>
          <w:tcPr>
            <w:tcW w:w="2695" w:type="dxa"/>
          </w:tcPr>
          <w:p w14:paraId="3530EC4F" w14:textId="77777777" w:rsidR="00C55F5C" w:rsidRPr="00681130" w:rsidRDefault="00C55F5C" w:rsidP="006E3274">
            <w:pPr>
              <w:pStyle w:val="ListParagraph"/>
              <w:numPr>
                <w:ilvl w:val="0"/>
                <w:numId w:val="17"/>
              </w:numPr>
              <w:rPr>
                <w:rFonts w:asciiTheme="majorHAnsi" w:hAnsiTheme="majorHAnsi" w:cstheme="majorHAnsi"/>
                <w:sz w:val="20"/>
                <w:szCs w:val="20"/>
              </w:rPr>
            </w:pPr>
            <w:r w:rsidRPr="00681130">
              <w:rPr>
                <w:rFonts w:asciiTheme="majorHAnsi" w:hAnsiTheme="majorHAnsi" w:cstheme="majorHAnsi"/>
                <w:sz w:val="20"/>
                <w:szCs w:val="20"/>
              </w:rPr>
              <w:t>Estimate new AUC</w:t>
            </w:r>
            <w:r w:rsidRPr="00681130">
              <w:rPr>
                <w:rFonts w:asciiTheme="majorHAnsi" w:hAnsiTheme="majorHAnsi" w:cstheme="majorHAnsi"/>
                <w:sz w:val="20"/>
                <w:szCs w:val="20"/>
                <w:vertAlign w:val="subscript"/>
              </w:rPr>
              <w:t>24</w:t>
            </w:r>
            <w:r w:rsidRPr="00681130">
              <w:rPr>
                <w:rFonts w:asciiTheme="majorHAnsi" w:hAnsiTheme="majorHAnsi" w:cstheme="majorHAnsi"/>
                <w:sz w:val="20"/>
                <w:szCs w:val="20"/>
              </w:rPr>
              <w:t xml:space="preserve"> (mg*h/L)</w:t>
            </w:r>
          </w:p>
        </w:tc>
        <w:tc>
          <w:tcPr>
            <w:tcW w:w="4494" w:type="dxa"/>
          </w:tcPr>
          <w:p w14:paraId="30E658AF" w14:textId="77777777" w:rsidR="00C55F5C" w:rsidRPr="00681130" w:rsidRDefault="00C55F5C" w:rsidP="006E3274">
            <w:pPr>
              <w:jc w:val="center"/>
              <w:rPr>
                <w:rFonts w:asciiTheme="majorHAnsi" w:eastAsiaTheme="minorEastAsia" w:hAnsiTheme="majorHAnsi" w:cstheme="majorHAnsi"/>
                <w:sz w:val="20"/>
                <w:szCs w:val="20"/>
              </w:rPr>
            </w:pPr>
            <m:oMathPara>
              <m:oMath>
                <m:r>
                  <w:rPr>
                    <w:rFonts w:ascii="Cambria Math" w:eastAsia="Calibri" w:hAnsi="Cambria Math" w:cstheme="majorHAnsi"/>
                    <w:sz w:val="20"/>
                    <w:szCs w:val="20"/>
                  </w:rPr>
                  <m:t>AUC24=(</m:t>
                </m:r>
                <m:f>
                  <m:fPr>
                    <m:type m:val="lin"/>
                    <m:ctrlPr>
                      <w:rPr>
                        <w:rFonts w:ascii="Cambria Math" w:eastAsia="Calibri" w:hAnsi="Cambria Math" w:cstheme="majorHAnsi"/>
                        <w:i/>
                        <w:sz w:val="20"/>
                        <w:szCs w:val="20"/>
                      </w:rPr>
                    </m:ctrlPr>
                  </m:fPr>
                  <m:num>
                    <m:r>
                      <w:rPr>
                        <w:rFonts w:ascii="Cambria Math" w:eastAsia="Calibri" w:hAnsi="Cambria Math" w:cstheme="majorHAnsi"/>
                        <w:sz w:val="20"/>
                        <w:szCs w:val="20"/>
                      </w:rPr>
                      <m:t>Dose</m:t>
                    </m:r>
                  </m:num>
                  <m:den>
                    <m:r>
                      <w:rPr>
                        <w:rFonts w:ascii="Cambria Math" w:eastAsia="Calibri" w:hAnsi="Cambria Math" w:cstheme="majorHAnsi"/>
                        <w:sz w:val="20"/>
                        <w:szCs w:val="20"/>
                      </w:rPr>
                      <m:t>(Ke*Vd))*(24/tau)</m:t>
                    </m:r>
                  </m:den>
                </m:f>
              </m:oMath>
            </m:oMathPara>
          </w:p>
          <w:p w14:paraId="0FE4FE14" w14:textId="77777777" w:rsidR="00C55F5C" w:rsidRPr="00681130" w:rsidRDefault="00C55F5C" w:rsidP="006E3274">
            <w:pPr>
              <w:jc w:val="center"/>
              <w:rPr>
                <w:rFonts w:asciiTheme="majorHAnsi" w:eastAsiaTheme="minorEastAsia" w:hAnsiTheme="majorHAnsi" w:cstheme="majorHAnsi"/>
                <w:sz w:val="20"/>
                <w:szCs w:val="20"/>
              </w:rPr>
            </w:pPr>
            <w:r w:rsidRPr="00681130">
              <w:rPr>
                <w:rFonts w:asciiTheme="majorHAnsi" w:eastAsiaTheme="minorEastAsia" w:hAnsiTheme="majorHAnsi" w:cstheme="majorHAnsi"/>
                <w:sz w:val="20"/>
                <w:szCs w:val="20"/>
              </w:rPr>
              <w:t>OR</w:t>
            </w:r>
          </w:p>
          <w:p w14:paraId="5EF40A33" w14:textId="77777777" w:rsidR="00C55F5C" w:rsidRPr="00681130" w:rsidRDefault="00C55F5C" w:rsidP="006E3274">
            <w:pPr>
              <w:jc w:val="center"/>
              <w:rPr>
                <w:rFonts w:asciiTheme="majorHAnsi" w:eastAsia="Calibri" w:hAnsiTheme="majorHAnsi" w:cstheme="majorHAnsi"/>
                <w:sz w:val="20"/>
                <w:szCs w:val="20"/>
              </w:rPr>
            </w:pPr>
            <m:oMathPara>
              <m:oMath>
                <m:r>
                  <w:rPr>
                    <w:rFonts w:ascii="Cambria Math" w:eastAsia="Calibri" w:hAnsi="Cambria Math" w:cstheme="majorHAnsi"/>
                    <w:sz w:val="20"/>
                    <w:szCs w:val="20"/>
                  </w:rPr>
                  <m:t xml:space="preserve">AUCinf= </m:t>
                </m:r>
                <m:f>
                  <m:fPr>
                    <m:ctrlPr>
                      <w:rPr>
                        <w:rFonts w:ascii="Cambria Math" w:eastAsia="Calibri" w:hAnsi="Cambria Math" w:cstheme="majorHAnsi"/>
                        <w:i/>
                        <w:sz w:val="20"/>
                        <w:szCs w:val="20"/>
                      </w:rPr>
                    </m:ctrlPr>
                  </m:fPr>
                  <m:num>
                    <m:r>
                      <w:rPr>
                        <w:rFonts w:ascii="Cambria Math" w:eastAsia="Calibri" w:hAnsi="Cambria Math" w:cstheme="majorHAnsi"/>
                        <w:sz w:val="20"/>
                        <w:szCs w:val="20"/>
                      </w:rPr>
                      <m:t>(Cmax+Cmin)</m:t>
                    </m:r>
                  </m:num>
                  <m:den>
                    <m:r>
                      <w:rPr>
                        <w:rFonts w:ascii="Cambria Math" w:eastAsia="Calibri" w:hAnsi="Cambria Math" w:cstheme="majorHAnsi"/>
                        <w:sz w:val="20"/>
                        <w:szCs w:val="20"/>
                      </w:rPr>
                      <m:t>2</m:t>
                    </m:r>
                  </m:den>
                </m:f>
                <m:r>
                  <w:rPr>
                    <w:rFonts w:ascii="Cambria Math" w:eastAsia="Calibri" w:hAnsi="Cambria Math" w:cstheme="majorHAnsi"/>
                    <w:sz w:val="20"/>
                    <w:szCs w:val="20"/>
                  </w:rPr>
                  <m:t>*tinf</m:t>
                </m:r>
              </m:oMath>
            </m:oMathPara>
          </w:p>
          <w:p w14:paraId="53382490" w14:textId="77777777" w:rsidR="00C55F5C" w:rsidRPr="00681130" w:rsidRDefault="00C55F5C" w:rsidP="006E3274">
            <w:pPr>
              <w:jc w:val="center"/>
              <w:rPr>
                <w:rFonts w:asciiTheme="majorHAnsi" w:eastAsia="Calibri" w:hAnsiTheme="majorHAnsi" w:cstheme="majorHAnsi"/>
                <w:sz w:val="20"/>
                <w:szCs w:val="20"/>
              </w:rPr>
            </w:pPr>
            <m:oMathPara>
              <m:oMath>
                <m:r>
                  <w:rPr>
                    <w:rFonts w:ascii="Cambria Math" w:eastAsia="Calibri" w:hAnsi="Cambria Math" w:cstheme="majorHAnsi"/>
                    <w:sz w:val="20"/>
                    <w:szCs w:val="20"/>
                  </w:rPr>
                  <m:t xml:space="preserve">AUCelim= </m:t>
                </m:r>
                <m:f>
                  <m:fPr>
                    <m:ctrlPr>
                      <w:rPr>
                        <w:rFonts w:ascii="Cambria Math" w:eastAsia="Calibri" w:hAnsi="Cambria Math" w:cstheme="majorHAnsi"/>
                        <w:i/>
                        <w:sz w:val="20"/>
                        <w:szCs w:val="20"/>
                      </w:rPr>
                    </m:ctrlPr>
                  </m:fPr>
                  <m:num>
                    <m:r>
                      <w:rPr>
                        <w:rFonts w:ascii="Cambria Math" w:eastAsia="Calibri" w:hAnsi="Cambria Math" w:cstheme="majorHAnsi"/>
                        <w:sz w:val="20"/>
                        <w:szCs w:val="20"/>
                      </w:rPr>
                      <m:t>(Cmax-Cmin)</m:t>
                    </m:r>
                  </m:num>
                  <m:den>
                    <m:r>
                      <w:rPr>
                        <w:rFonts w:ascii="Cambria Math" w:eastAsia="Calibri" w:hAnsi="Cambria Math" w:cstheme="majorHAnsi"/>
                        <w:sz w:val="20"/>
                        <w:szCs w:val="20"/>
                      </w:rPr>
                      <m:t>Ke</m:t>
                    </m:r>
                  </m:den>
                </m:f>
              </m:oMath>
            </m:oMathPara>
          </w:p>
          <w:p w14:paraId="2BDF8094" w14:textId="77777777" w:rsidR="00C55F5C" w:rsidRPr="00681130" w:rsidRDefault="00C55F5C" w:rsidP="006E3274">
            <w:pPr>
              <w:jc w:val="center"/>
              <w:rPr>
                <w:rFonts w:asciiTheme="majorHAnsi" w:eastAsia="Calibri" w:hAnsiTheme="majorHAnsi" w:cstheme="majorHAnsi"/>
                <w:sz w:val="20"/>
                <w:szCs w:val="20"/>
              </w:rPr>
            </w:pPr>
            <m:oMathPara>
              <m:oMath>
                <m:r>
                  <w:rPr>
                    <w:rFonts w:ascii="Cambria Math" w:eastAsia="Calibri" w:hAnsi="Cambria Math" w:cstheme="majorHAnsi"/>
                    <w:sz w:val="20"/>
                    <w:szCs w:val="20"/>
                  </w:rPr>
                  <m:t>AUC24=</m:t>
                </m:r>
                <m:d>
                  <m:dPr>
                    <m:ctrlPr>
                      <w:rPr>
                        <w:rFonts w:ascii="Cambria Math" w:eastAsia="Calibri" w:hAnsi="Cambria Math" w:cstheme="majorHAnsi"/>
                        <w:i/>
                        <w:sz w:val="20"/>
                        <w:szCs w:val="20"/>
                      </w:rPr>
                    </m:ctrlPr>
                  </m:dPr>
                  <m:e>
                    <m:r>
                      <w:rPr>
                        <w:rFonts w:ascii="Cambria Math" w:eastAsia="Calibri" w:hAnsi="Cambria Math" w:cstheme="majorHAnsi"/>
                        <w:sz w:val="20"/>
                        <w:szCs w:val="20"/>
                      </w:rPr>
                      <m:t>AUCinf+AUCelim</m:t>
                    </m:r>
                  </m:e>
                </m:d>
                <m:r>
                  <w:rPr>
                    <w:rFonts w:ascii="Cambria Math" w:eastAsia="Calibri" w:hAnsi="Cambria Math" w:cstheme="majorHAnsi"/>
                    <w:sz w:val="20"/>
                    <w:szCs w:val="20"/>
                  </w:rPr>
                  <m:t>*(</m:t>
                </m:r>
                <m:f>
                  <m:fPr>
                    <m:ctrlPr>
                      <w:rPr>
                        <w:rFonts w:ascii="Cambria Math" w:eastAsia="Calibri" w:hAnsi="Cambria Math" w:cstheme="majorHAnsi"/>
                        <w:i/>
                        <w:sz w:val="20"/>
                        <w:szCs w:val="20"/>
                      </w:rPr>
                    </m:ctrlPr>
                  </m:fPr>
                  <m:num>
                    <m:r>
                      <w:rPr>
                        <w:rFonts w:ascii="Cambria Math" w:eastAsia="Calibri" w:hAnsi="Cambria Math" w:cstheme="majorHAnsi"/>
                        <w:sz w:val="20"/>
                        <w:szCs w:val="20"/>
                      </w:rPr>
                      <m:t>24</m:t>
                    </m:r>
                  </m:num>
                  <m:den>
                    <m:r>
                      <w:rPr>
                        <w:rFonts w:ascii="Cambria Math" w:eastAsia="Calibri" w:hAnsi="Cambria Math" w:cstheme="majorHAnsi"/>
                        <w:sz w:val="20"/>
                        <w:szCs w:val="20"/>
                      </w:rPr>
                      <m:t>Tau</m:t>
                    </m:r>
                  </m:den>
                </m:f>
                <m:r>
                  <w:rPr>
                    <w:rFonts w:ascii="Cambria Math" w:eastAsia="Calibri" w:hAnsi="Cambria Math" w:cstheme="majorHAnsi"/>
                    <w:sz w:val="20"/>
                    <w:szCs w:val="20"/>
                  </w:rPr>
                  <m:t>)</m:t>
                </m:r>
              </m:oMath>
            </m:oMathPara>
          </w:p>
        </w:tc>
        <w:tc>
          <w:tcPr>
            <w:tcW w:w="2161" w:type="dxa"/>
          </w:tcPr>
          <w:p w14:paraId="3854868E" w14:textId="77777777" w:rsidR="00C55F5C" w:rsidRPr="00681130" w:rsidRDefault="00C55F5C" w:rsidP="006E3274">
            <w:pPr>
              <w:jc w:val="center"/>
              <w:rPr>
                <w:rFonts w:asciiTheme="majorHAnsi" w:eastAsia="Calibri" w:hAnsiTheme="majorHAnsi" w:cstheme="majorHAnsi"/>
                <w:sz w:val="20"/>
                <w:szCs w:val="20"/>
              </w:rPr>
            </w:pPr>
          </w:p>
        </w:tc>
      </w:tr>
    </w:tbl>
    <w:p w14:paraId="241BAA1B" w14:textId="77777777" w:rsidR="00C55F5C" w:rsidRPr="00681130" w:rsidRDefault="00C55F5C" w:rsidP="00C55F5C">
      <w:pPr>
        <w:spacing w:line="240" w:lineRule="auto"/>
        <w:rPr>
          <w:rFonts w:asciiTheme="majorHAnsi" w:hAnsiTheme="majorHAnsi" w:cstheme="majorHAnsi"/>
        </w:rPr>
      </w:pPr>
    </w:p>
    <w:p w14:paraId="541B013A" w14:textId="4BE94F70" w:rsidR="00681130" w:rsidRDefault="00681130" w:rsidP="00C55F5C">
      <w:pPr>
        <w:rPr>
          <w:rFonts w:asciiTheme="majorHAnsi" w:hAnsiTheme="majorHAnsi" w:cstheme="majorHAnsi"/>
        </w:rPr>
      </w:pPr>
    </w:p>
    <w:p w14:paraId="50995BD2" w14:textId="266462DA" w:rsidR="00C55F5C" w:rsidRDefault="00C55F5C" w:rsidP="00C55F5C">
      <w:pPr>
        <w:rPr>
          <w:rFonts w:asciiTheme="majorHAnsi" w:hAnsiTheme="majorHAnsi" w:cstheme="majorHAnsi"/>
        </w:rPr>
      </w:pPr>
    </w:p>
    <w:p w14:paraId="74311DAF" w14:textId="1B4CB046" w:rsidR="00C55F5C" w:rsidRDefault="00C55F5C" w:rsidP="00C55F5C">
      <w:pPr>
        <w:rPr>
          <w:rFonts w:asciiTheme="majorHAnsi" w:hAnsiTheme="majorHAnsi" w:cstheme="majorHAnsi"/>
        </w:rPr>
      </w:pPr>
    </w:p>
    <w:p w14:paraId="68131DE8" w14:textId="406F3B20" w:rsidR="00C55F5C" w:rsidRDefault="00C55F5C" w:rsidP="00C55F5C">
      <w:pPr>
        <w:rPr>
          <w:rFonts w:asciiTheme="majorHAnsi" w:hAnsiTheme="majorHAnsi" w:cstheme="majorHAnsi"/>
        </w:rPr>
      </w:pPr>
    </w:p>
    <w:p w14:paraId="063C1F68" w14:textId="4B8D9805" w:rsidR="00C55F5C" w:rsidRDefault="00C55F5C" w:rsidP="00C55F5C">
      <w:pPr>
        <w:rPr>
          <w:rFonts w:asciiTheme="majorHAnsi" w:hAnsiTheme="majorHAnsi" w:cstheme="majorHAnsi"/>
        </w:rPr>
      </w:pPr>
    </w:p>
    <w:p w14:paraId="120DDD59" w14:textId="38F15787" w:rsidR="00C55F5C" w:rsidRDefault="00C55F5C" w:rsidP="00C55F5C">
      <w:pPr>
        <w:rPr>
          <w:rFonts w:asciiTheme="majorHAnsi" w:hAnsiTheme="majorHAnsi" w:cstheme="majorHAnsi"/>
        </w:rPr>
      </w:pPr>
    </w:p>
    <w:p w14:paraId="1DB7B8BA" w14:textId="2C367384" w:rsidR="00C55F5C" w:rsidRDefault="00C55F5C" w:rsidP="00C55F5C">
      <w:pPr>
        <w:rPr>
          <w:rFonts w:asciiTheme="majorHAnsi" w:hAnsiTheme="majorHAnsi" w:cstheme="majorHAnsi"/>
        </w:rPr>
      </w:pPr>
    </w:p>
    <w:p w14:paraId="767219BE" w14:textId="12529832" w:rsidR="00C55F5C" w:rsidRDefault="00C55F5C" w:rsidP="00C55F5C">
      <w:pPr>
        <w:rPr>
          <w:rFonts w:asciiTheme="majorHAnsi" w:hAnsiTheme="majorHAnsi" w:cstheme="majorHAnsi"/>
        </w:rPr>
      </w:pPr>
    </w:p>
    <w:p w14:paraId="05A57316" w14:textId="77777777" w:rsidR="00C55F5C" w:rsidRDefault="00C55F5C" w:rsidP="00C55F5C">
      <w:pPr>
        <w:rPr>
          <w:rFonts w:asciiTheme="majorHAnsi" w:hAnsiTheme="majorHAnsi" w:cstheme="majorHAnsi"/>
        </w:rPr>
      </w:pPr>
    </w:p>
    <w:p w14:paraId="7770D20F" w14:textId="77777777" w:rsidR="00681130" w:rsidRPr="00681130" w:rsidRDefault="00681130" w:rsidP="00681130">
      <w:pPr>
        <w:spacing w:line="240" w:lineRule="auto"/>
        <w:rPr>
          <w:rFonts w:asciiTheme="majorHAnsi" w:hAnsiTheme="majorHAnsi" w:cstheme="majorHAnsi"/>
          <w:sz w:val="20"/>
          <w:szCs w:val="20"/>
        </w:rPr>
      </w:pPr>
      <w:r w:rsidRPr="00681130">
        <w:rPr>
          <w:rFonts w:asciiTheme="majorHAnsi" w:hAnsiTheme="majorHAnsi" w:cstheme="majorHAnsi"/>
          <w:sz w:val="20"/>
          <w:szCs w:val="20"/>
        </w:rPr>
        <w:t>Two-Level Pharmacokinetic Calculations for Patients at Steady-State (Non-Trapezoidal Method)</w:t>
      </w:r>
    </w:p>
    <w:p w14:paraId="3E378A8D" w14:textId="77777777" w:rsidR="00681130" w:rsidRPr="00681130" w:rsidRDefault="00681130" w:rsidP="00681130">
      <w:pPr>
        <w:spacing w:line="240" w:lineRule="auto"/>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2695"/>
        <w:gridCol w:w="4494"/>
        <w:gridCol w:w="2161"/>
      </w:tblGrid>
      <w:tr w:rsidR="00681130" w:rsidRPr="00681130" w14:paraId="474A0969" w14:textId="77777777" w:rsidTr="00681130">
        <w:tc>
          <w:tcPr>
            <w:tcW w:w="2695" w:type="dxa"/>
          </w:tcPr>
          <w:p w14:paraId="73CB1BDC" w14:textId="77777777" w:rsidR="00681130" w:rsidRPr="00681130" w:rsidRDefault="00681130" w:rsidP="00681130">
            <w:pPr>
              <w:jc w:val="center"/>
              <w:rPr>
                <w:rFonts w:asciiTheme="majorHAnsi" w:hAnsiTheme="majorHAnsi" w:cstheme="majorHAnsi"/>
                <w:b/>
                <w:sz w:val="20"/>
                <w:szCs w:val="20"/>
              </w:rPr>
            </w:pPr>
            <w:r w:rsidRPr="00681130">
              <w:rPr>
                <w:rFonts w:asciiTheme="majorHAnsi" w:hAnsiTheme="majorHAnsi" w:cstheme="majorHAnsi"/>
                <w:b/>
                <w:sz w:val="20"/>
                <w:szCs w:val="20"/>
              </w:rPr>
              <w:t>Step</w:t>
            </w:r>
          </w:p>
        </w:tc>
        <w:tc>
          <w:tcPr>
            <w:tcW w:w="4494" w:type="dxa"/>
          </w:tcPr>
          <w:p w14:paraId="51F8C28E" w14:textId="77777777" w:rsidR="00681130" w:rsidRPr="00681130" w:rsidRDefault="00681130" w:rsidP="00681130">
            <w:pPr>
              <w:jc w:val="center"/>
              <w:rPr>
                <w:rFonts w:asciiTheme="majorHAnsi" w:hAnsiTheme="majorHAnsi" w:cstheme="majorHAnsi"/>
                <w:b/>
                <w:sz w:val="20"/>
                <w:szCs w:val="20"/>
              </w:rPr>
            </w:pPr>
            <w:r w:rsidRPr="00681130">
              <w:rPr>
                <w:rFonts w:asciiTheme="majorHAnsi" w:hAnsiTheme="majorHAnsi" w:cstheme="majorHAnsi"/>
                <w:b/>
                <w:sz w:val="20"/>
                <w:szCs w:val="20"/>
              </w:rPr>
              <w:t>Equation</w:t>
            </w:r>
          </w:p>
        </w:tc>
        <w:tc>
          <w:tcPr>
            <w:tcW w:w="2161" w:type="dxa"/>
          </w:tcPr>
          <w:p w14:paraId="4F4C9056" w14:textId="77777777" w:rsidR="00681130" w:rsidRPr="00681130" w:rsidRDefault="00681130" w:rsidP="00681130">
            <w:pPr>
              <w:jc w:val="center"/>
              <w:rPr>
                <w:rFonts w:asciiTheme="majorHAnsi" w:hAnsiTheme="majorHAnsi" w:cstheme="majorHAnsi"/>
                <w:b/>
                <w:sz w:val="20"/>
                <w:szCs w:val="20"/>
              </w:rPr>
            </w:pPr>
            <w:r w:rsidRPr="00681130">
              <w:rPr>
                <w:rFonts w:asciiTheme="majorHAnsi" w:hAnsiTheme="majorHAnsi" w:cstheme="majorHAnsi"/>
                <w:b/>
                <w:sz w:val="20"/>
                <w:szCs w:val="20"/>
              </w:rPr>
              <w:t>Notes</w:t>
            </w:r>
          </w:p>
        </w:tc>
      </w:tr>
      <w:tr w:rsidR="00681130" w:rsidRPr="00681130" w14:paraId="459F97CE" w14:textId="77777777" w:rsidTr="00681130">
        <w:tc>
          <w:tcPr>
            <w:tcW w:w="2695" w:type="dxa"/>
          </w:tcPr>
          <w:p w14:paraId="7E57D6A2" w14:textId="77777777" w:rsidR="00681130" w:rsidRPr="00681130" w:rsidRDefault="00681130" w:rsidP="00681130">
            <w:pPr>
              <w:pStyle w:val="ListParagraph"/>
              <w:numPr>
                <w:ilvl w:val="0"/>
                <w:numId w:val="15"/>
              </w:numPr>
              <w:rPr>
                <w:rFonts w:asciiTheme="majorHAnsi" w:hAnsiTheme="majorHAnsi" w:cstheme="majorHAnsi"/>
                <w:sz w:val="20"/>
                <w:szCs w:val="20"/>
              </w:rPr>
            </w:pPr>
            <w:r w:rsidRPr="00681130">
              <w:rPr>
                <w:rFonts w:asciiTheme="majorHAnsi" w:hAnsiTheme="majorHAnsi" w:cstheme="majorHAnsi"/>
                <w:sz w:val="20"/>
                <w:szCs w:val="20"/>
              </w:rPr>
              <w:t>Calculate rate of elimination (K</w:t>
            </w:r>
            <w:r w:rsidRPr="00681130">
              <w:rPr>
                <w:rFonts w:asciiTheme="majorHAnsi" w:hAnsiTheme="majorHAnsi" w:cstheme="majorHAnsi"/>
                <w:sz w:val="20"/>
                <w:szCs w:val="20"/>
                <w:vertAlign w:val="subscript"/>
              </w:rPr>
              <w:t>e</w:t>
            </w:r>
            <w:r w:rsidRPr="00681130">
              <w:rPr>
                <w:rFonts w:asciiTheme="majorHAnsi" w:hAnsiTheme="majorHAnsi" w:cstheme="majorHAnsi"/>
                <w:sz w:val="20"/>
                <w:szCs w:val="20"/>
              </w:rPr>
              <w:t>, h</w:t>
            </w:r>
            <w:r w:rsidRPr="00681130">
              <w:rPr>
                <w:rFonts w:asciiTheme="majorHAnsi" w:hAnsiTheme="majorHAnsi" w:cstheme="majorHAnsi"/>
                <w:sz w:val="20"/>
                <w:szCs w:val="20"/>
                <w:vertAlign w:val="superscript"/>
              </w:rPr>
              <w:t>-1</w:t>
            </w:r>
            <w:r w:rsidRPr="00681130">
              <w:rPr>
                <w:rFonts w:asciiTheme="majorHAnsi" w:hAnsiTheme="majorHAnsi" w:cstheme="majorHAnsi"/>
                <w:sz w:val="20"/>
                <w:szCs w:val="20"/>
              </w:rPr>
              <w:t>)</w:t>
            </w:r>
          </w:p>
        </w:tc>
        <w:tc>
          <w:tcPr>
            <w:tcW w:w="4494" w:type="dxa"/>
          </w:tcPr>
          <w:p w14:paraId="0AD20EB9" w14:textId="77777777" w:rsidR="00681130" w:rsidRPr="00681130" w:rsidRDefault="00681130" w:rsidP="00681130">
            <w:pPr>
              <w:jc w:val="center"/>
              <w:rPr>
                <w:rFonts w:asciiTheme="majorHAnsi" w:eastAsiaTheme="minorEastAsia" w:hAnsiTheme="majorHAnsi" w:cstheme="majorHAnsi"/>
                <w:sz w:val="20"/>
                <w:szCs w:val="20"/>
              </w:rPr>
            </w:pPr>
            <m:oMathPara>
              <m:oMath>
                <m:r>
                  <w:rPr>
                    <w:rFonts w:ascii="Cambria Math" w:hAnsi="Cambria Math" w:cstheme="majorHAnsi"/>
                    <w:sz w:val="20"/>
                    <w:szCs w:val="20"/>
                  </w:rPr>
                  <m:t xml:space="preserve">Ke= </m:t>
                </m:r>
                <m:f>
                  <m:fPr>
                    <m:ctrlPr>
                      <w:rPr>
                        <w:rFonts w:ascii="Cambria Math" w:hAnsi="Cambria Math" w:cstheme="majorHAnsi"/>
                        <w:i/>
                        <w:sz w:val="20"/>
                        <w:szCs w:val="20"/>
                      </w:rPr>
                    </m:ctrlPr>
                  </m:fPr>
                  <m:num>
                    <m:f>
                      <m:fPr>
                        <m:type m:val="lin"/>
                        <m:ctrlPr>
                          <w:rPr>
                            <w:rFonts w:ascii="Cambria Math" w:hAnsi="Cambria Math" w:cstheme="majorHAnsi"/>
                            <w:i/>
                            <w:sz w:val="20"/>
                            <w:szCs w:val="20"/>
                          </w:rPr>
                        </m:ctrlPr>
                      </m:fPr>
                      <m:num>
                        <m:r>
                          <w:rPr>
                            <w:rFonts w:ascii="Cambria Math" w:hAnsi="Cambria Math" w:cstheme="majorHAnsi"/>
                            <w:sz w:val="20"/>
                            <w:szCs w:val="20"/>
                          </w:rPr>
                          <m:t>ln(C1</m:t>
                        </m:r>
                      </m:num>
                      <m:den>
                        <m:r>
                          <w:rPr>
                            <w:rFonts w:ascii="Cambria Math" w:hAnsi="Cambria Math" w:cstheme="majorHAnsi"/>
                            <w:sz w:val="20"/>
                            <w:szCs w:val="20"/>
                          </w:rPr>
                          <m:t>C2)</m:t>
                        </m:r>
                      </m:den>
                    </m:f>
                  </m:num>
                  <m:den>
                    <m:r>
                      <w:rPr>
                        <w:rFonts w:ascii="Cambria Math" w:hAnsi="Cambria Math" w:cstheme="majorHAnsi"/>
                        <w:sz w:val="20"/>
                        <w:szCs w:val="20"/>
                      </w:rPr>
                      <m:t>∆T</m:t>
                    </m:r>
                  </m:den>
                </m:f>
              </m:oMath>
            </m:oMathPara>
          </w:p>
        </w:tc>
        <w:tc>
          <w:tcPr>
            <w:tcW w:w="2161" w:type="dxa"/>
          </w:tcPr>
          <w:p w14:paraId="378B8B13" w14:textId="77777777" w:rsidR="00681130" w:rsidRPr="00681130" w:rsidRDefault="00681130" w:rsidP="00681130">
            <w:pPr>
              <w:jc w:val="center"/>
              <w:rPr>
                <w:rFonts w:asciiTheme="majorHAnsi" w:eastAsia="Calibri" w:hAnsiTheme="majorHAnsi" w:cstheme="majorHAnsi"/>
                <w:sz w:val="20"/>
                <w:szCs w:val="20"/>
              </w:rPr>
            </w:pPr>
            <w:r w:rsidRPr="00681130">
              <w:rPr>
                <w:rFonts w:asciiTheme="majorHAnsi" w:eastAsia="Calibri" w:hAnsiTheme="majorHAnsi" w:cstheme="majorHAnsi"/>
                <w:sz w:val="20"/>
                <w:szCs w:val="20"/>
              </w:rPr>
              <w:t>C1=Higher concentration</w:t>
            </w:r>
          </w:p>
          <w:p w14:paraId="7F6336C2" w14:textId="77777777" w:rsidR="00681130" w:rsidRPr="00681130" w:rsidRDefault="00681130" w:rsidP="00681130">
            <w:pPr>
              <w:jc w:val="center"/>
              <w:rPr>
                <w:rFonts w:asciiTheme="majorHAnsi" w:eastAsia="Calibri" w:hAnsiTheme="majorHAnsi" w:cstheme="majorHAnsi"/>
                <w:sz w:val="20"/>
                <w:szCs w:val="20"/>
              </w:rPr>
            </w:pPr>
            <w:r w:rsidRPr="00681130">
              <w:rPr>
                <w:rFonts w:asciiTheme="majorHAnsi" w:eastAsia="Calibri" w:hAnsiTheme="majorHAnsi" w:cstheme="majorHAnsi"/>
                <w:sz w:val="20"/>
                <w:szCs w:val="20"/>
              </w:rPr>
              <w:t>C2=Lower concentration</w:t>
            </w:r>
          </w:p>
          <w:p w14:paraId="1C38AF08" w14:textId="77777777" w:rsidR="00681130" w:rsidRPr="00681130" w:rsidRDefault="00681130" w:rsidP="00681130">
            <w:pPr>
              <w:jc w:val="center"/>
              <w:rPr>
                <w:rFonts w:asciiTheme="majorHAnsi" w:eastAsia="Calibri" w:hAnsiTheme="majorHAnsi" w:cstheme="majorHAnsi"/>
                <w:sz w:val="20"/>
                <w:szCs w:val="20"/>
              </w:rPr>
            </w:pPr>
            <w:r w:rsidRPr="00681130">
              <w:rPr>
                <w:rFonts w:asciiTheme="majorHAnsi" w:eastAsia="Calibri" w:hAnsiTheme="majorHAnsi" w:cstheme="majorHAnsi"/>
                <w:sz w:val="20"/>
                <w:szCs w:val="20"/>
              </w:rPr>
              <w:t>∆T=Time between concentrations</w:t>
            </w:r>
          </w:p>
        </w:tc>
      </w:tr>
      <w:tr w:rsidR="00681130" w:rsidRPr="00681130" w14:paraId="31B26585" w14:textId="77777777" w:rsidTr="00681130">
        <w:trPr>
          <w:trHeight w:val="566"/>
        </w:trPr>
        <w:tc>
          <w:tcPr>
            <w:tcW w:w="2695" w:type="dxa"/>
          </w:tcPr>
          <w:p w14:paraId="168F81C5" w14:textId="77777777" w:rsidR="00681130" w:rsidRPr="00681130" w:rsidRDefault="00681130" w:rsidP="00681130">
            <w:pPr>
              <w:pStyle w:val="ListParagraph"/>
              <w:numPr>
                <w:ilvl w:val="0"/>
                <w:numId w:val="15"/>
              </w:numPr>
              <w:rPr>
                <w:rFonts w:asciiTheme="majorHAnsi" w:hAnsiTheme="majorHAnsi" w:cstheme="majorHAnsi"/>
                <w:sz w:val="20"/>
                <w:szCs w:val="20"/>
              </w:rPr>
            </w:pPr>
            <w:r w:rsidRPr="00681130">
              <w:rPr>
                <w:rFonts w:asciiTheme="majorHAnsi" w:hAnsiTheme="majorHAnsi" w:cstheme="majorHAnsi"/>
                <w:sz w:val="20"/>
                <w:szCs w:val="20"/>
              </w:rPr>
              <w:t>Calculate half-life (T</w:t>
            </w:r>
            <w:r w:rsidRPr="00681130">
              <w:rPr>
                <w:rFonts w:asciiTheme="majorHAnsi" w:hAnsiTheme="majorHAnsi" w:cstheme="majorHAnsi"/>
                <w:sz w:val="20"/>
                <w:szCs w:val="20"/>
                <w:vertAlign w:val="subscript"/>
              </w:rPr>
              <w:t>1/2</w:t>
            </w:r>
            <w:r w:rsidRPr="00681130">
              <w:rPr>
                <w:rFonts w:asciiTheme="majorHAnsi" w:hAnsiTheme="majorHAnsi" w:cstheme="majorHAnsi"/>
                <w:sz w:val="20"/>
                <w:szCs w:val="20"/>
              </w:rPr>
              <w:t>, h)</w:t>
            </w:r>
          </w:p>
        </w:tc>
        <w:tc>
          <w:tcPr>
            <w:tcW w:w="4494" w:type="dxa"/>
          </w:tcPr>
          <w:p w14:paraId="1A72246E" w14:textId="77777777" w:rsidR="00681130" w:rsidRPr="00681130" w:rsidRDefault="00681130" w:rsidP="00681130">
            <w:pPr>
              <w:jc w:val="center"/>
              <w:rPr>
                <w:rFonts w:asciiTheme="majorHAnsi" w:eastAsia="Calibri" w:hAnsiTheme="majorHAnsi" w:cstheme="majorHAnsi"/>
                <w:sz w:val="20"/>
                <w:szCs w:val="20"/>
              </w:rPr>
            </w:pPr>
            <m:oMathPara>
              <m:oMath>
                <m:r>
                  <w:rPr>
                    <w:rFonts w:ascii="Cambria Math" w:eastAsia="Calibri" w:hAnsi="Cambria Math" w:cstheme="majorHAnsi"/>
                    <w:sz w:val="20"/>
                    <w:szCs w:val="20"/>
                  </w:rPr>
                  <m:t>T1/2=</m:t>
                </m:r>
                <m:f>
                  <m:fPr>
                    <m:ctrlPr>
                      <w:rPr>
                        <w:rFonts w:ascii="Cambria Math" w:eastAsia="Calibri" w:hAnsi="Cambria Math" w:cstheme="majorHAnsi"/>
                        <w:i/>
                        <w:sz w:val="20"/>
                        <w:szCs w:val="20"/>
                      </w:rPr>
                    </m:ctrlPr>
                  </m:fPr>
                  <m:num>
                    <m:r>
                      <w:rPr>
                        <w:rFonts w:ascii="Cambria Math" w:eastAsia="Calibri" w:hAnsi="Cambria Math" w:cstheme="majorHAnsi"/>
                        <w:sz w:val="20"/>
                        <w:szCs w:val="20"/>
                      </w:rPr>
                      <m:t>0.693</m:t>
                    </m:r>
                  </m:num>
                  <m:den>
                    <m:r>
                      <w:rPr>
                        <w:rFonts w:ascii="Cambria Math" w:eastAsia="Calibri" w:hAnsi="Cambria Math" w:cstheme="majorHAnsi"/>
                        <w:sz w:val="20"/>
                        <w:szCs w:val="20"/>
                      </w:rPr>
                      <m:t>Ke</m:t>
                    </m:r>
                  </m:den>
                </m:f>
              </m:oMath>
            </m:oMathPara>
          </w:p>
        </w:tc>
        <w:tc>
          <w:tcPr>
            <w:tcW w:w="2161" w:type="dxa"/>
          </w:tcPr>
          <w:p w14:paraId="27EC5CD7" w14:textId="77777777" w:rsidR="00681130" w:rsidRPr="00681130" w:rsidRDefault="00681130" w:rsidP="00681130">
            <w:pPr>
              <w:jc w:val="center"/>
              <w:rPr>
                <w:rFonts w:asciiTheme="majorHAnsi" w:eastAsia="Calibri" w:hAnsiTheme="majorHAnsi" w:cstheme="majorHAnsi"/>
                <w:sz w:val="20"/>
                <w:szCs w:val="20"/>
              </w:rPr>
            </w:pPr>
          </w:p>
        </w:tc>
      </w:tr>
      <w:tr w:rsidR="00681130" w:rsidRPr="00681130" w14:paraId="16E34287" w14:textId="77777777" w:rsidTr="00681130">
        <w:tc>
          <w:tcPr>
            <w:tcW w:w="2695" w:type="dxa"/>
          </w:tcPr>
          <w:p w14:paraId="23ED68C0" w14:textId="77777777" w:rsidR="00681130" w:rsidRPr="00681130" w:rsidRDefault="00681130" w:rsidP="00681130">
            <w:pPr>
              <w:pStyle w:val="ListParagraph"/>
              <w:numPr>
                <w:ilvl w:val="0"/>
                <w:numId w:val="15"/>
              </w:numPr>
              <w:rPr>
                <w:rFonts w:asciiTheme="majorHAnsi" w:hAnsiTheme="majorHAnsi" w:cstheme="majorHAnsi"/>
                <w:sz w:val="20"/>
                <w:szCs w:val="20"/>
              </w:rPr>
            </w:pPr>
            <w:r w:rsidRPr="00681130">
              <w:rPr>
                <w:rFonts w:asciiTheme="majorHAnsi" w:hAnsiTheme="majorHAnsi" w:cstheme="majorHAnsi"/>
                <w:sz w:val="20"/>
                <w:szCs w:val="20"/>
              </w:rPr>
              <w:t>Calculate peak (C</w:t>
            </w:r>
            <w:r w:rsidRPr="00681130">
              <w:rPr>
                <w:rFonts w:asciiTheme="majorHAnsi" w:hAnsiTheme="majorHAnsi" w:cstheme="majorHAnsi"/>
                <w:sz w:val="20"/>
                <w:szCs w:val="20"/>
                <w:vertAlign w:val="subscript"/>
              </w:rPr>
              <w:t>max</w:t>
            </w:r>
            <w:r w:rsidRPr="00681130">
              <w:rPr>
                <w:rFonts w:asciiTheme="majorHAnsi" w:hAnsiTheme="majorHAnsi" w:cstheme="majorHAnsi"/>
                <w:sz w:val="20"/>
                <w:szCs w:val="20"/>
              </w:rPr>
              <w:t>, mg/L)</w:t>
            </w:r>
          </w:p>
        </w:tc>
        <w:tc>
          <w:tcPr>
            <w:tcW w:w="4494" w:type="dxa"/>
          </w:tcPr>
          <w:p w14:paraId="65D84186" w14:textId="77777777" w:rsidR="00681130" w:rsidRPr="00681130" w:rsidRDefault="00681130" w:rsidP="00681130">
            <w:pPr>
              <w:jc w:val="center"/>
              <w:rPr>
                <w:rFonts w:asciiTheme="majorHAnsi" w:eastAsia="Calibri" w:hAnsiTheme="majorHAnsi" w:cstheme="majorHAnsi"/>
                <w:sz w:val="20"/>
                <w:szCs w:val="20"/>
              </w:rPr>
            </w:pPr>
            <m:oMathPara>
              <m:oMath>
                <m:r>
                  <w:rPr>
                    <w:rFonts w:ascii="Cambria Math" w:eastAsia="Calibri" w:hAnsi="Cambria Math" w:cstheme="majorHAnsi"/>
                    <w:sz w:val="20"/>
                    <w:szCs w:val="20"/>
                  </w:rPr>
                  <m:t>Cmax=</m:t>
                </m:r>
                <m:f>
                  <m:fPr>
                    <m:type m:val="lin"/>
                    <m:ctrlPr>
                      <w:rPr>
                        <w:rFonts w:ascii="Cambria Math" w:eastAsia="Calibri" w:hAnsi="Cambria Math" w:cstheme="majorHAnsi"/>
                        <w:i/>
                        <w:sz w:val="20"/>
                        <w:szCs w:val="20"/>
                      </w:rPr>
                    </m:ctrlPr>
                  </m:fPr>
                  <m:num>
                    <m:r>
                      <w:rPr>
                        <w:rFonts w:ascii="Cambria Math" w:eastAsia="Calibri" w:hAnsi="Cambria Math" w:cstheme="majorHAnsi"/>
                        <w:sz w:val="20"/>
                        <w:szCs w:val="20"/>
                      </w:rPr>
                      <m:t>C1</m:t>
                    </m:r>
                  </m:num>
                  <m:den>
                    <m:sSup>
                      <m:sSupPr>
                        <m:ctrlPr>
                          <w:rPr>
                            <w:rFonts w:ascii="Cambria Math" w:eastAsia="Calibri" w:hAnsi="Cambria Math" w:cstheme="majorHAnsi"/>
                            <w:i/>
                            <w:sz w:val="20"/>
                            <w:szCs w:val="20"/>
                          </w:rPr>
                        </m:ctrlPr>
                      </m:sSupPr>
                      <m:e>
                        <m:r>
                          <w:rPr>
                            <w:rFonts w:ascii="Cambria Math" w:eastAsia="Calibri" w:hAnsi="Cambria Math" w:cstheme="majorHAnsi"/>
                            <w:sz w:val="20"/>
                            <w:szCs w:val="20"/>
                          </w:rPr>
                          <m:t>e</m:t>
                        </m:r>
                      </m:e>
                      <m:sup>
                        <m:r>
                          <w:rPr>
                            <w:rFonts w:ascii="Cambria Math" w:eastAsia="Calibri" w:hAnsi="Cambria Math" w:cstheme="majorHAnsi"/>
                            <w:sz w:val="20"/>
                            <w:szCs w:val="20"/>
                          </w:rPr>
                          <m:t>-Ket'</m:t>
                        </m:r>
                      </m:sup>
                    </m:sSup>
                  </m:den>
                </m:f>
              </m:oMath>
            </m:oMathPara>
          </w:p>
          <w:p w14:paraId="34569F3A" w14:textId="77777777" w:rsidR="00681130" w:rsidRPr="00681130" w:rsidRDefault="00681130" w:rsidP="00681130">
            <w:pPr>
              <w:jc w:val="center"/>
              <w:rPr>
                <w:rFonts w:asciiTheme="majorHAnsi" w:eastAsia="Calibri" w:hAnsiTheme="majorHAnsi" w:cstheme="majorHAnsi"/>
                <w:sz w:val="20"/>
                <w:szCs w:val="20"/>
              </w:rPr>
            </w:pPr>
            <w:r w:rsidRPr="00681130">
              <w:rPr>
                <w:rFonts w:asciiTheme="majorHAnsi" w:eastAsia="Calibri" w:hAnsiTheme="majorHAnsi" w:cstheme="majorHAnsi"/>
                <w:sz w:val="20"/>
                <w:szCs w:val="20"/>
              </w:rPr>
              <w:t>OR</w:t>
            </w:r>
          </w:p>
          <w:p w14:paraId="7A273CF9" w14:textId="77777777" w:rsidR="00681130" w:rsidRPr="00681130" w:rsidRDefault="00681130" w:rsidP="00681130">
            <w:pPr>
              <w:jc w:val="center"/>
              <w:rPr>
                <w:rFonts w:asciiTheme="majorHAnsi" w:eastAsia="Calibri" w:hAnsiTheme="majorHAnsi" w:cstheme="majorHAnsi"/>
                <w:sz w:val="20"/>
                <w:szCs w:val="20"/>
              </w:rPr>
            </w:pPr>
            <m:oMathPara>
              <m:oMath>
                <m:r>
                  <w:rPr>
                    <w:rFonts w:ascii="Cambria Math" w:eastAsia="Calibri" w:hAnsi="Cambria Math" w:cstheme="majorHAnsi"/>
                    <w:sz w:val="20"/>
                    <w:szCs w:val="20"/>
                  </w:rPr>
                  <m:t>Cmax=C1*</m:t>
                </m:r>
                <m:sSup>
                  <m:sSupPr>
                    <m:ctrlPr>
                      <w:rPr>
                        <w:rFonts w:ascii="Cambria Math" w:eastAsia="Calibri" w:hAnsi="Cambria Math" w:cstheme="majorHAnsi"/>
                        <w:i/>
                        <w:sz w:val="20"/>
                        <w:szCs w:val="20"/>
                      </w:rPr>
                    </m:ctrlPr>
                  </m:sSupPr>
                  <m:e>
                    <m:r>
                      <w:rPr>
                        <w:rFonts w:ascii="Cambria Math" w:eastAsia="Calibri" w:hAnsi="Cambria Math" w:cstheme="majorHAnsi"/>
                        <w:sz w:val="20"/>
                        <w:szCs w:val="20"/>
                      </w:rPr>
                      <m:t>e</m:t>
                    </m:r>
                  </m:e>
                  <m:sup>
                    <m:r>
                      <w:rPr>
                        <w:rFonts w:ascii="Cambria Math" w:eastAsia="Calibri" w:hAnsi="Cambria Math" w:cstheme="majorHAnsi"/>
                        <w:sz w:val="20"/>
                        <w:szCs w:val="20"/>
                      </w:rPr>
                      <m:t>Ke*t'</m:t>
                    </m:r>
                  </m:sup>
                </m:sSup>
              </m:oMath>
            </m:oMathPara>
          </w:p>
        </w:tc>
        <w:tc>
          <w:tcPr>
            <w:tcW w:w="2161" w:type="dxa"/>
          </w:tcPr>
          <w:p w14:paraId="4E5B128B" w14:textId="77777777" w:rsidR="00681130" w:rsidRPr="00681130" w:rsidRDefault="00681130" w:rsidP="00681130">
            <w:pPr>
              <w:jc w:val="center"/>
              <w:rPr>
                <w:rFonts w:asciiTheme="majorHAnsi" w:eastAsia="Calibri" w:hAnsiTheme="majorHAnsi" w:cstheme="majorHAnsi"/>
                <w:sz w:val="20"/>
                <w:szCs w:val="20"/>
              </w:rPr>
            </w:pPr>
            <w:r w:rsidRPr="00681130">
              <w:rPr>
                <w:rFonts w:asciiTheme="majorHAnsi" w:eastAsia="Calibri" w:hAnsiTheme="majorHAnsi" w:cstheme="majorHAnsi"/>
                <w:sz w:val="20"/>
                <w:szCs w:val="20"/>
              </w:rPr>
              <w:t>t’=Time between C1 and end of infusion (h)</w:t>
            </w:r>
          </w:p>
        </w:tc>
      </w:tr>
      <w:tr w:rsidR="00681130" w:rsidRPr="00681130" w14:paraId="7BB9EE04" w14:textId="77777777" w:rsidTr="00681130">
        <w:tc>
          <w:tcPr>
            <w:tcW w:w="2695" w:type="dxa"/>
          </w:tcPr>
          <w:p w14:paraId="277BFB54" w14:textId="77777777" w:rsidR="00681130" w:rsidRPr="00681130" w:rsidRDefault="00681130" w:rsidP="00681130">
            <w:pPr>
              <w:pStyle w:val="ListParagraph"/>
              <w:numPr>
                <w:ilvl w:val="0"/>
                <w:numId w:val="15"/>
              </w:numPr>
              <w:rPr>
                <w:rFonts w:asciiTheme="majorHAnsi" w:hAnsiTheme="majorHAnsi" w:cstheme="majorHAnsi"/>
                <w:sz w:val="20"/>
                <w:szCs w:val="20"/>
              </w:rPr>
            </w:pPr>
            <w:r w:rsidRPr="00681130">
              <w:rPr>
                <w:rFonts w:asciiTheme="majorHAnsi" w:hAnsiTheme="majorHAnsi" w:cstheme="majorHAnsi"/>
                <w:sz w:val="20"/>
                <w:szCs w:val="20"/>
              </w:rPr>
              <w:t>Calculate trough (C</w:t>
            </w:r>
            <w:r w:rsidRPr="00681130">
              <w:rPr>
                <w:rFonts w:asciiTheme="majorHAnsi" w:hAnsiTheme="majorHAnsi" w:cstheme="majorHAnsi"/>
                <w:sz w:val="20"/>
                <w:szCs w:val="20"/>
                <w:vertAlign w:val="subscript"/>
              </w:rPr>
              <w:t>tr</w:t>
            </w:r>
            <w:r w:rsidRPr="00681130">
              <w:rPr>
                <w:rFonts w:asciiTheme="majorHAnsi" w:hAnsiTheme="majorHAnsi" w:cstheme="majorHAnsi"/>
                <w:sz w:val="20"/>
                <w:szCs w:val="20"/>
              </w:rPr>
              <w:t>, mg/L)</w:t>
            </w:r>
          </w:p>
        </w:tc>
        <w:tc>
          <w:tcPr>
            <w:tcW w:w="4494" w:type="dxa"/>
          </w:tcPr>
          <w:p w14:paraId="5A658787" w14:textId="77777777" w:rsidR="00681130" w:rsidRPr="00681130" w:rsidRDefault="00681130" w:rsidP="00681130">
            <w:pPr>
              <w:jc w:val="center"/>
              <w:rPr>
                <w:rFonts w:asciiTheme="majorHAnsi" w:eastAsiaTheme="minorEastAsia" w:hAnsiTheme="majorHAnsi" w:cstheme="majorHAnsi"/>
                <w:sz w:val="20"/>
                <w:szCs w:val="20"/>
              </w:rPr>
            </w:pPr>
            <m:oMathPara>
              <m:oMath>
                <m:r>
                  <w:rPr>
                    <w:rFonts w:ascii="Cambria Math" w:eastAsia="Calibri" w:hAnsi="Cambria Math" w:cstheme="majorHAnsi"/>
                    <w:sz w:val="20"/>
                    <w:szCs w:val="20"/>
                  </w:rPr>
                  <m:t>Ctr=C2*</m:t>
                </m:r>
                <m:sSup>
                  <m:sSupPr>
                    <m:ctrlPr>
                      <w:rPr>
                        <w:rFonts w:ascii="Cambria Math" w:eastAsia="Calibri" w:hAnsi="Cambria Math" w:cstheme="majorHAnsi"/>
                        <w:i/>
                        <w:sz w:val="20"/>
                        <w:szCs w:val="20"/>
                      </w:rPr>
                    </m:ctrlPr>
                  </m:sSupPr>
                  <m:e>
                    <m:r>
                      <w:rPr>
                        <w:rFonts w:ascii="Cambria Math" w:eastAsia="Calibri" w:hAnsi="Cambria Math" w:cstheme="majorHAnsi"/>
                        <w:sz w:val="20"/>
                        <w:szCs w:val="20"/>
                      </w:rPr>
                      <m:t>e</m:t>
                    </m:r>
                  </m:e>
                  <m:sup>
                    <m:r>
                      <w:rPr>
                        <w:rFonts w:ascii="Cambria Math" w:eastAsia="Calibri" w:hAnsi="Cambria Math" w:cstheme="majorHAnsi"/>
                        <w:sz w:val="20"/>
                        <w:szCs w:val="20"/>
                      </w:rPr>
                      <m:t>-Ke</m:t>
                    </m:r>
                    <m:sSup>
                      <m:sSupPr>
                        <m:ctrlPr>
                          <w:rPr>
                            <w:rFonts w:ascii="Cambria Math" w:eastAsia="Calibri" w:hAnsi="Cambria Math" w:cstheme="majorHAnsi"/>
                            <w:i/>
                            <w:sz w:val="20"/>
                            <w:szCs w:val="20"/>
                          </w:rPr>
                        </m:ctrlPr>
                      </m:sSupPr>
                      <m:e>
                        <m:r>
                          <w:rPr>
                            <w:rFonts w:ascii="Cambria Math" w:eastAsia="Calibri" w:hAnsi="Cambria Math" w:cstheme="majorHAnsi"/>
                            <w:sz w:val="20"/>
                            <w:szCs w:val="20"/>
                          </w:rPr>
                          <m:t>t</m:t>
                        </m:r>
                      </m:e>
                      <m:sup>
                        <m:r>
                          <w:rPr>
                            <w:rFonts w:ascii="Cambria Math" w:eastAsia="Calibri" w:hAnsi="Cambria Math" w:cstheme="majorHAnsi"/>
                            <w:sz w:val="20"/>
                            <w:szCs w:val="20"/>
                          </w:rPr>
                          <m:t>'</m:t>
                        </m:r>
                      </m:sup>
                    </m:sSup>
                  </m:sup>
                </m:sSup>
              </m:oMath>
            </m:oMathPara>
          </w:p>
          <w:p w14:paraId="040D20DC" w14:textId="77777777" w:rsidR="00681130" w:rsidRPr="00681130" w:rsidRDefault="00681130" w:rsidP="00681130">
            <w:pPr>
              <w:jc w:val="center"/>
              <w:rPr>
                <w:rFonts w:asciiTheme="majorHAnsi" w:eastAsiaTheme="minorEastAsia" w:hAnsiTheme="majorHAnsi" w:cstheme="majorHAnsi"/>
                <w:sz w:val="20"/>
                <w:szCs w:val="20"/>
              </w:rPr>
            </w:pPr>
            <w:r w:rsidRPr="00681130">
              <w:rPr>
                <w:rFonts w:asciiTheme="majorHAnsi" w:eastAsiaTheme="minorEastAsia" w:hAnsiTheme="majorHAnsi" w:cstheme="majorHAnsi"/>
                <w:sz w:val="20"/>
                <w:szCs w:val="20"/>
              </w:rPr>
              <w:t>OR</w:t>
            </w:r>
          </w:p>
          <w:p w14:paraId="06B25119" w14:textId="77777777" w:rsidR="00681130" w:rsidRPr="00681130" w:rsidRDefault="00681130" w:rsidP="00681130">
            <w:pPr>
              <w:jc w:val="center"/>
              <w:rPr>
                <w:rFonts w:asciiTheme="majorHAnsi" w:eastAsiaTheme="minorEastAsia" w:hAnsiTheme="majorHAnsi" w:cstheme="majorHAnsi"/>
                <w:sz w:val="20"/>
                <w:szCs w:val="20"/>
              </w:rPr>
            </w:pPr>
            <m:oMathPara>
              <m:oMath>
                <m:r>
                  <w:rPr>
                    <w:rFonts w:ascii="Cambria Math" w:eastAsia="Calibri" w:hAnsi="Cambria Math" w:cstheme="majorHAnsi"/>
                    <w:sz w:val="20"/>
                    <w:szCs w:val="20"/>
                  </w:rPr>
                  <m:t>Ctr=Cmax*</m:t>
                </m:r>
                <m:sSup>
                  <m:sSupPr>
                    <m:ctrlPr>
                      <w:rPr>
                        <w:rFonts w:ascii="Cambria Math" w:eastAsia="Calibri" w:hAnsi="Cambria Math" w:cstheme="majorHAnsi"/>
                        <w:i/>
                        <w:sz w:val="20"/>
                        <w:szCs w:val="20"/>
                      </w:rPr>
                    </m:ctrlPr>
                  </m:sSupPr>
                  <m:e>
                    <m:r>
                      <w:rPr>
                        <w:rFonts w:ascii="Cambria Math" w:eastAsia="Calibri" w:hAnsi="Cambria Math" w:cstheme="majorHAnsi"/>
                        <w:sz w:val="20"/>
                        <w:szCs w:val="20"/>
                      </w:rPr>
                      <m:t>e</m:t>
                    </m:r>
                  </m:e>
                  <m:sup>
                    <m:r>
                      <w:rPr>
                        <w:rFonts w:ascii="Cambria Math" w:eastAsia="Calibri" w:hAnsi="Cambria Math" w:cstheme="majorHAnsi"/>
                        <w:sz w:val="20"/>
                        <w:szCs w:val="20"/>
                      </w:rPr>
                      <m:t>-Ke(Tau-tinf)</m:t>
                    </m:r>
                  </m:sup>
                </m:sSup>
              </m:oMath>
            </m:oMathPara>
          </w:p>
        </w:tc>
        <w:tc>
          <w:tcPr>
            <w:tcW w:w="2161" w:type="dxa"/>
          </w:tcPr>
          <w:p w14:paraId="01DDCFE7" w14:textId="77777777" w:rsidR="00681130" w:rsidRPr="00681130" w:rsidRDefault="00681130" w:rsidP="00681130">
            <w:pPr>
              <w:jc w:val="center"/>
              <w:rPr>
                <w:rFonts w:asciiTheme="majorHAnsi" w:eastAsia="Calibri" w:hAnsiTheme="majorHAnsi" w:cstheme="majorHAnsi"/>
                <w:sz w:val="20"/>
                <w:szCs w:val="20"/>
              </w:rPr>
            </w:pPr>
            <w:r w:rsidRPr="00681130">
              <w:rPr>
                <w:rFonts w:asciiTheme="majorHAnsi" w:eastAsia="Calibri" w:hAnsiTheme="majorHAnsi" w:cstheme="majorHAnsi"/>
                <w:sz w:val="20"/>
                <w:szCs w:val="20"/>
              </w:rPr>
              <w:t>t’=Time between C2 and true C</w:t>
            </w:r>
            <w:r w:rsidRPr="00681130">
              <w:rPr>
                <w:rFonts w:asciiTheme="majorHAnsi" w:eastAsia="Calibri" w:hAnsiTheme="majorHAnsi" w:cstheme="majorHAnsi"/>
                <w:sz w:val="20"/>
                <w:szCs w:val="20"/>
                <w:vertAlign w:val="subscript"/>
              </w:rPr>
              <w:t>tr</w:t>
            </w:r>
            <w:r w:rsidRPr="00681130">
              <w:rPr>
                <w:rFonts w:asciiTheme="majorHAnsi" w:eastAsia="Calibri" w:hAnsiTheme="majorHAnsi" w:cstheme="majorHAnsi"/>
                <w:sz w:val="20"/>
                <w:szCs w:val="20"/>
              </w:rPr>
              <w:t xml:space="preserve"> (h)</w:t>
            </w:r>
          </w:p>
          <w:p w14:paraId="357D7DA7" w14:textId="77777777" w:rsidR="00681130" w:rsidRPr="00681130" w:rsidRDefault="00681130" w:rsidP="00681130">
            <w:pPr>
              <w:jc w:val="center"/>
              <w:rPr>
                <w:rFonts w:asciiTheme="majorHAnsi" w:eastAsia="Calibri" w:hAnsiTheme="majorHAnsi" w:cstheme="majorHAnsi"/>
                <w:sz w:val="20"/>
                <w:szCs w:val="20"/>
              </w:rPr>
            </w:pPr>
            <w:r w:rsidRPr="00681130">
              <w:rPr>
                <w:rFonts w:asciiTheme="majorHAnsi" w:eastAsia="Calibri" w:hAnsiTheme="majorHAnsi" w:cstheme="majorHAnsi"/>
                <w:sz w:val="20"/>
                <w:szCs w:val="20"/>
              </w:rPr>
              <w:t>Tau=Dosing interval</w:t>
            </w:r>
          </w:p>
          <w:p w14:paraId="2A4A3402" w14:textId="77777777" w:rsidR="00681130" w:rsidRPr="00681130" w:rsidRDefault="00681130" w:rsidP="00681130">
            <w:pPr>
              <w:rPr>
                <w:rFonts w:asciiTheme="majorHAnsi" w:eastAsia="Calibri" w:hAnsiTheme="majorHAnsi" w:cstheme="majorHAnsi"/>
                <w:sz w:val="20"/>
                <w:szCs w:val="20"/>
              </w:rPr>
            </w:pPr>
            <w:r w:rsidRPr="00681130">
              <w:rPr>
                <w:rFonts w:asciiTheme="majorHAnsi" w:eastAsia="Calibri" w:hAnsiTheme="majorHAnsi" w:cstheme="majorHAnsi"/>
                <w:sz w:val="20"/>
                <w:szCs w:val="20"/>
              </w:rPr>
              <w:t>tinf=Time of infusion</w:t>
            </w:r>
          </w:p>
        </w:tc>
      </w:tr>
      <w:tr w:rsidR="00681130" w:rsidRPr="00681130" w14:paraId="7D07B180" w14:textId="77777777" w:rsidTr="00681130">
        <w:tc>
          <w:tcPr>
            <w:tcW w:w="2695" w:type="dxa"/>
          </w:tcPr>
          <w:p w14:paraId="26ECFF9F" w14:textId="77777777" w:rsidR="00681130" w:rsidRPr="00681130" w:rsidRDefault="00681130" w:rsidP="00681130">
            <w:pPr>
              <w:pStyle w:val="ListParagraph"/>
              <w:numPr>
                <w:ilvl w:val="0"/>
                <w:numId w:val="15"/>
              </w:numPr>
              <w:rPr>
                <w:rFonts w:asciiTheme="majorHAnsi" w:hAnsiTheme="majorHAnsi" w:cstheme="majorHAnsi"/>
                <w:sz w:val="20"/>
                <w:szCs w:val="20"/>
              </w:rPr>
            </w:pPr>
            <w:r w:rsidRPr="00681130">
              <w:rPr>
                <w:rFonts w:asciiTheme="majorHAnsi" w:hAnsiTheme="majorHAnsi" w:cstheme="majorHAnsi"/>
                <w:sz w:val="20"/>
                <w:szCs w:val="20"/>
              </w:rPr>
              <w:t>Calculate volume of distribution (Vd, L)</w:t>
            </w:r>
          </w:p>
        </w:tc>
        <w:tc>
          <w:tcPr>
            <w:tcW w:w="4494" w:type="dxa"/>
          </w:tcPr>
          <w:p w14:paraId="6D174D74" w14:textId="77777777" w:rsidR="00681130" w:rsidRPr="00681130" w:rsidRDefault="00681130" w:rsidP="00681130">
            <w:pPr>
              <w:jc w:val="center"/>
              <w:rPr>
                <w:rFonts w:asciiTheme="majorHAnsi" w:eastAsia="Calibri" w:hAnsiTheme="majorHAnsi" w:cstheme="majorHAnsi"/>
                <w:sz w:val="20"/>
                <w:szCs w:val="20"/>
              </w:rPr>
            </w:pPr>
            <m:oMathPara>
              <m:oMath>
                <m:r>
                  <w:rPr>
                    <w:rFonts w:ascii="Cambria Math" w:hAnsi="Cambria Math" w:cstheme="majorHAnsi"/>
                    <w:sz w:val="20"/>
                    <w:szCs w:val="20"/>
                  </w:rPr>
                  <m:t xml:space="preserve">Vd= </m:t>
                </m:r>
                <m:f>
                  <m:fPr>
                    <m:ctrlPr>
                      <w:rPr>
                        <w:rFonts w:ascii="Cambria Math" w:hAnsi="Cambria Math" w:cstheme="majorHAnsi"/>
                        <w:i/>
                        <w:sz w:val="20"/>
                        <w:szCs w:val="20"/>
                      </w:rPr>
                    </m:ctrlPr>
                  </m:fPr>
                  <m:num>
                    <m:f>
                      <m:fPr>
                        <m:ctrlPr>
                          <w:rPr>
                            <w:rFonts w:ascii="Cambria Math" w:hAnsi="Cambria Math" w:cstheme="majorHAnsi"/>
                            <w:i/>
                            <w:sz w:val="20"/>
                            <w:szCs w:val="20"/>
                          </w:rPr>
                        </m:ctrlPr>
                      </m:fPr>
                      <m:num>
                        <m:r>
                          <w:rPr>
                            <w:rFonts w:ascii="Cambria Math" w:hAnsi="Cambria Math" w:cstheme="majorHAnsi"/>
                            <w:sz w:val="20"/>
                            <w:szCs w:val="20"/>
                          </w:rPr>
                          <m:t>MD</m:t>
                        </m:r>
                      </m:num>
                      <m:den>
                        <m:r>
                          <w:rPr>
                            <w:rFonts w:ascii="Cambria Math" w:hAnsi="Cambria Math" w:cstheme="majorHAnsi"/>
                            <w:sz w:val="20"/>
                            <w:szCs w:val="20"/>
                          </w:rPr>
                          <m:t>t</m:t>
                        </m:r>
                      </m:den>
                    </m:f>
                    <m:r>
                      <w:rPr>
                        <w:rFonts w:ascii="Cambria Math" w:hAnsi="Cambria Math" w:cstheme="majorHAnsi"/>
                        <w:sz w:val="20"/>
                        <w:szCs w:val="20"/>
                      </w:rPr>
                      <m:t>(1-</m:t>
                    </m:r>
                    <m:sSup>
                      <m:sSupPr>
                        <m:ctrlPr>
                          <w:rPr>
                            <w:rFonts w:ascii="Cambria Math" w:hAnsi="Cambria Math" w:cstheme="majorHAnsi"/>
                            <w:i/>
                            <w:sz w:val="20"/>
                            <w:szCs w:val="20"/>
                          </w:rPr>
                        </m:ctrlPr>
                      </m:sSupPr>
                      <m:e>
                        <m:r>
                          <w:rPr>
                            <w:rFonts w:ascii="Cambria Math" w:hAnsi="Cambria Math" w:cstheme="majorHAnsi"/>
                            <w:sz w:val="20"/>
                            <w:szCs w:val="20"/>
                          </w:rPr>
                          <m:t>e</m:t>
                        </m:r>
                      </m:e>
                      <m:sup>
                        <m:r>
                          <w:rPr>
                            <w:rFonts w:ascii="Cambria Math" w:hAnsi="Cambria Math" w:cstheme="majorHAnsi"/>
                            <w:sz w:val="20"/>
                            <w:szCs w:val="20"/>
                          </w:rPr>
                          <m:t>-Ke*tinf</m:t>
                        </m:r>
                      </m:sup>
                    </m:sSup>
                    <m:r>
                      <w:rPr>
                        <w:rFonts w:ascii="Cambria Math" w:hAnsi="Cambria Math" w:cstheme="majorHAnsi"/>
                        <w:sz w:val="20"/>
                        <w:szCs w:val="20"/>
                      </w:rPr>
                      <m:t>)</m:t>
                    </m:r>
                  </m:num>
                  <m:den>
                    <m:r>
                      <w:rPr>
                        <w:rFonts w:ascii="Cambria Math" w:hAnsi="Cambria Math" w:cstheme="majorHAnsi"/>
                        <w:sz w:val="20"/>
                        <w:szCs w:val="20"/>
                      </w:rPr>
                      <m:t>Ke*Cmax*</m:t>
                    </m:r>
                    <m:sSup>
                      <m:sSupPr>
                        <m:ctrlPr>
                          <w:rPr>
                            <w:rFonts w:ascii="Cambria Math" w:hAnsi="Cambria Math" w:cstheme="majorHAnsi"/>
                            <w:i/>
                            <w:sz w:val="20"/>
                            <w:szCs w:val="20"/>
                          </w:rPr>
                        </m:ctrlPr>
                      </m:sSupPr>
                      <m:e>
                        <m:r>
                          <w:rPr>
                            <w:rFonts w:ascii="Cambria Math" w:hAnsi="Cambria Math" w:cstheme="majorHAnsi"/>
                            <w:sz w:val="20"/>
                            <w:szCs w:val="20"/>
                          </w:rPr>
                          <m:t>(1-e</m:t>
                        </m:r>
                      </m:e>
                      <m:sup>
                        <m:r>
                          <w:rPr>
                            <w:rFonts w:ascii="Cambria Math" w:hAnsi="Cambria Math" w:cstheme="majorHAnsi"/>
                            <w:sz w:val="20"/>
                            <w:szCs w:val="20"/>
                          </w:rPr>
                          <m:t>-Ke*tau</m:t>
                        </m:r>
                      </m:sup>
                    </m:sSup>
                    <m:r>
                      <w:rPr>
                        <w:rFonts w:ascii="Cambria Math" w:hAnsi="Cambria Math" w:cstheme="majorHAnsi"/>
                        <w:sz w:val="20"/>
                        <w:szCs w:val="20"/>
                      </w:rPr>
                      <m:t>)</m:t>
                    </m:r>
                  </m:den>
                </m:f>
              </m:oMath>
            </m:oMathPara>
          </w:p>
          <w:p w14:paraId="32033B0D" w14:textId="77777777" w:rsidR="00681130" w:rsidRPr="00681130" w:rsidRDefault="00681130" w:rsidP="00681130">
            <w:pPr>
              <w:jc w:val="center"/>
              <w:rPr>
                <w:rFonts w:asciiTheme="majorHAnsi" w:eastAsia="Calibri" w:hAnsiTheme="majorHAnsi" w:cstheme="majorHAnsi"/>
                <w:sz w:val="20"/>
                <w:szCs w:val="20"/>
              </w:rPr>
            </w:pPr>
            <w:r w:rsidRPr="00681130">
              <w:rPr>
                <w:rFonts w:asciiTheme="majorHAnsi" w:eastAsia="Calibri" w:hAnsiTheme="majorHAnsi" w:cstheme="majorHAnsi"/>
                <w:sz w:val="20"/>
                <w:szCs w:val="20"/>
              </w:rPr>
              <w:t>OR</w:t>
            </w:r>
          </w:p>
          <w:p w14:paraId="40FD2861" w14:textId="77777777" w:rsidR="00681130" w:rsidRPr="00681130" w:rsidRDefault="00681130" w:rsidP="00681130">
            <w:pPr>
              <w:jc w:val="center"/>
              <w:rPr>
                <w:rFonts w:asciiTheme="majorHAnsi" w:eastAsia="Calibri" w:hAnsiTheme="majorHAnsi" w:cstheme="majorHAnsi"/>
                <w:sz w:val="20"/>
                <w:szCs w:val="20"/>
              </w:rPr>
            </w:pPr>
            <m:oMathPara>
              <m:oMath>
                <m:r>
                  <w:rPr>
                    <w:rFonts w:ascii="Cambria Math" w:hAnsi="Cambria Math" w:cstheme="majorHAnsi"/>
                    <w:sz w:val="20"/>
                    <w:szCs w:val="20"/>
                  </w:rPr>
                  <m:t xml:space="preserve">Vd= </m:t>
                </m:r>
                <m:f>
                  <m:fPr>
                    <m:ctrlPr>
                      <w:rPr>
                        <w:rFonts w:ascii="Cambria Math" w:hAnsi="Cambria Math" w:cstheme="majorHAnsi"/>
                        <w:i/>
                        <w:sz w:val="20"/>
                        <w:szCs w:val="20"/>
                      </w:rPr>
                    </m:ctrlPr>
                  </m:fPr>
                  <m:num>
                    <m:f>
                      <m:fPr>
                        <m:ctrlPr>
                          <w:rPr>
                            <w:rFonts w:ascii="Cambria Math" w:hAnsi="Cambria Math" w:cstheme="majorHAnsi"/>
                            <w:i/>
                            <w:sz w:val="20"/>
                            <w:szCs w:val="20"/>
                          </w:rPr>
                        </m:ctrlPr>
                      </m:fPr>
                      <m:num>
                        <m:r>
                          <w:rPr>
                            <w:rFonts w:ascii="Cambria Math" w:hAnsi="Cambria Math" w:cstheme="majorHAnsi"/>
                            <w:sz w:val="20"/>
                            <w:szCs w:val="20"/>
                          </w:rPr>
                          <m:t>MD</m:t>
                        </m:r>
                      </m:num>
                      <m:den>
                        <m:r>
                          <w:rPr>
                            <w:rFonts w:ascii="Cambria Math" w:hAnsi="Cambria Math" w:cstheme="majorHAnsi"/>
                            <w:sz w:val="20"/>
                            <w:szCs w:val="20"/>
                          </w:rPr>
                          <m:t>t</m:t>
                        </m:r>
                      </m:den>
                    </m:f>
                    <m:r>
                      <w:rPr>
                        <w:rFonts w:ascii="Cambria Math" w:hAnsi="Cambria Math" w:cstheme="majorHAnsi"/>
                        <w:sz w:val="20"/>
                        <w:szCs w:val="20"/>
                      </w:rPr>
                      <m:t>(1-</m:t>
                    </m:r>
                    <m:sSup>
                      <m:sSupPr>
                        <m:ctrlPr>
                          <w:rPr>
                            <w:rFonts w:ascii="Cambria Math" w:hAnsi="Cambria Math" w:cstheme="majorHAnsi"/>
                            <w:i/>
                            <w:sz w:val="20"/>
                            <w:szCs w:val="20"/>
                          </w:rPr>
                        </m:ctrlPr>
                      </m:sSupPr>
                      <m:e>
                        <m:r>
                          <w:rPr>
                            <w:rFonts w:ascii="Cambria Math" w:hAnsi="Cambria Math" w:cstheme="majorHAnsi"/>
                            <w:sz w:val="20"/>
                            <w:szCs w:val="20"/>
                          </w:rPr>
                          <m:t>e</m:t>
                        </m:r>
                      </m:e>
                      <m:sup>
                        <m:r>
                          <w:rPr>
                            <w:rFonts w:ascii="Cambria Math" w:hAnsi="Cambria Math" w:cstheme="majorHAnsi"/>
                            <w:sz w:val="20"/>
                            <w:szCs w:val="20"/>
                          </w:rPr>
                          <m:t>-Ke*tinf</m:t>
                        </m:r>
                      </m:sup>
                    </m:sSup>
                    <m:r>
                      <w:rPr>
                        <w:rFonts w:ascii="Cambria Math" w:hAnsi="Cambria Math" w:cstheme="majorHAnsi"/>
                        <w:sz w:val="20"/>
                        <w:szCs w:val="20"/>
                      </w:rPr>
                      <m:t>)</m:t>
                    </m:r>
                  </m:num>
                  <m:den>
                    <m:r>
                      <w:rPr>
                        <w:rFonts w:ascii="Cambria Math" w:hAnsi="Cambria Math" w:cstheme="majorHAnsi"/>
                        <w:sz w:val="20"/>
                        <w:szCs w:val="20"/>
                      </w:rPr>
                      <m:t>Ke*(Cmax-[Ctr*</m:t>
                    </m:r>
                    <m:sSup>
                      <m:sSupPr>
                        <m:ctrlPr>
                          <w:rPr>
                            <w:rFonts w:ascii="Cambria Math" w:hAnsi="Cambria Math" w:cstheme="majorHAnsi"/>
                            <w:i/>
                            <w:sz w:val="20"/>
                            <w:szCs w:val="20"/>
                          </w:rPr>
                        </m:ctrlPr>
                      </m:sSupPr>
                      <m:e>
                        <m:r>
                          <w:rPr>
                            <w:rFonts w:ascii="Cambria Math" w:hAnsi="Cambria Math" w:cstheme="majorHAnsi"/>
                            <w:sz w:val="20"/>
                            <w:szCs w:val="20"/>
                          </w:rPr>
                          <m:t>e</m:t>
                        </m:r>
                      </m:e>
                      <m:sup>
                        <m:r>
                          <w:rPr>
                            <w:rFonts w:ascii="Cambria Math" w:hAnsi="Cambria Math" w:cstheme="majorHAnsi"/>
                            <w:sz w:val="20"/>
                            <w:szCs w:val="20"/>
                          </w:rPr>
                          <m:t>-Ke*tinf</m:t>
                        </m:r>
                      </m:sup>
                    </m:sSup>
                    <m:r>
                      <w:rPr>
                        <w:rFonts w:ascii="Cambria Math" w:hAnsi="Cambria Math" w:cstheme="majorHAnsi"/>
                        <w:sz w:val="20"/>
                        <w:szCs w:val="20"/>
                      </w:rPr>
                      <m:t>])</m:t>
                    </m:r>
                  </m:den>
                </m:f>
              </m:oMath>
            </m:oMathPara>
          </w:p>
        </w:tc>
        <w:tc>
          <w:tcPr>
            <w:tcW w:w="2161" w:type="dxa"/>
          </w:tcPr>
          <w:p w14:paraId="4B02F617" w14:textId="77777777" w:rsidR="00681130" w:rsidRPr="00681130" w:rsidRDefault="00681130" w:rsidP="00681130">
            <w:pPr>
              <w:jc w:val="center"/>
              <w:rPr>
                <w:rFonts w:asciiTheme="majorHAnsi" w:eastAsia="Calibri" w:hAnsiTheme="majorHAnsi" w:cstheme="majorHAnsi"/>
                <w:sz w:val="20"/>
                <w:szCs w:val="20"/>
              </w:rPr>
            </w:pPr>
            <w:r w:rsidRPr="00681130">
              <w:rPr>
                <w:rFonts w:asciiTheme="majorHAnsi" w:eastAsia="Calibri" w:hAnsiTheme="majorHAnsi" w:cstheme="majorHAnsi"/>
                <w:sz w:val="20"/>
                <w:szCs w:val="20"/>
              </w:rPr>
              <w:t>MD = Maintenance dose</w:t>
            </w:r>
          </w:p>
          <w:p w14:paraId="4BA7BCED" w14:textId="77777777" w:rsidR="00681130" w:rsidRPr="00681130" w:rsidRDefault="00681130" w:rsidP="00681130">
            <w:pPr>
              <w:jc w:val="center"/>
              <w:rPr>
                <w:rFonts w:asciiTheme="majorHAnsi" w:eastAsia="Calibri" w:hAnsiTheme="majorHAnsi" w:cstheme="majorHAnsi"/>
                <w:sz w:val="20"/>
                <w:szCs w:val="20"/>
              </w:rPr>
            </w:pPr>
            <w:r w:rsidRPr="00681130">
              <w:rPr>
                <w:rFonts w:asciiTheme="majorHAnsi" w:eastAsia="Calibri" w:hAnsiTheme="majorHAnsi" w:cstheme="majorHAnsi"/>
                <w:sz w:val="20"/>
                <w:szCs w:val="20"/>
              </w:rPr>
              <w:t>tinf=Time of infusion</w:t>
            </w:r>
          </w:p>
        </w:tc>
      </w:tr>
      <w:tr w:rsidR="00681130" w:rsidRPr="00681130" w14:paraId="0AB0FDCC" w14:textId="77777777" w:rsidTr="00681130">
        <w:tc>
          <w:tcPr>
            <w:tcW w:w="2695" w:type="dxa"/>
          </w:tcPr>
          <w:p w14:paraId="2B3180CD" w14:textId="77777777" w:rsidR="00681130" w:rsidRPr="00681130" w:rsidRDefault="00681130" w:rsidP="00681130">
            <w:pPr>
              <w:pStyle w:val="ListParagraph"/>
              <w:numPr>
                <w:ilvl w:val="0"/>
                <w:numId w:val="15"/>
              </w:numPr>
              <w:rPr>
                <w:rFonts w:asciiTheme="majorHAnsi" w:hAnsiTheme="majorHAnsi" w:cstheme="majorHAnsi"/>
                <w:sz w:val="20"/>
                <w:szCs w:val="20"/>
              </w:rPr>
            </w:pPr>
            <w:r w:rsidRPr="00681130">
              <w:rPr>
                <w:rFonts w:asciiTheme="majorHAnsi" w:hAnsiTheme="majorHAnsi" w:cstheme="majorHAnsi"/>
                <w:sz w:val="20"/>
                <w:szCs w:val="20"/>
              </w:rPr>
              <w:t>Calculate clearance (CL, L/h)</w:t>
            </w:r>
          </w:p>
        </w:tc>
        <w:tc>
          <w:tcPr>
            <w:tcW w:w="4494" w:type="dxa"/>
          </w:tcPr>
          <w:p w14:paraId="2526F158" w14:textId="77777777" w:rsidR="00681130" w:rsidRPr="00681130" w:rsidRDefault="00681130" w:rsidP="00681130">
            <w:pPr>
              <w:jc w:val="center"/>
              <w:rPr>
                <w:rFonts w:asciiTheme="majorHAnsi" w:eastAsia="Calibri" w:hAnsiTheme="majorHAnsi" w:cstheme="majorHAnsi"/>
                <w:sz w:val="20"/>
                <w:szCs w:val="20"/>
              </w:rPr>
            </w:pPr>
            <m:oMathPara>
              <m:oMath>
                <m:r>
                  <w:rPr>
                    <w:rFonts w:ascii="Cambria Math" w:eastAsia="Times New Roman" w:hAnsi="Cambria Math" w:cstheme="majorHAnsi"/>
                    <w:sz w:val="20"/>
                    <w:szCs w:val="20"/>
                  </w:rPr>
                  <m:t>CL=Vd*Ke</m:t>
                </m:r>
              </m:oMath>
            </m:oMathPara>
          </w:p>
        </w:tc>
        <w:tc>
          <w:tcPr>
            <w:tcW w:w="2161" w:type="dxa"/>
          </w:tcPr>
          <w:p w14:paraId="620591A3" w14:textId="77777777" w:rsidR="00681130" w:rsidRPr="00681130" w:rsidRDefault="00681130" w:rsidP="00681130">
            <w:pPr>
              <w:jc w:val="center"/>
              <w:rPr>
                <w:rFonts w:asciiTheme="majorHAnsi" w:eastAsia="Calibri" w:hAnsiTheme="majorHAnsi" w:cstheme="majorHAnsi"/>
                <w:sz w:val="20"/>
                <w:szCs w:val="20"/>
              </w:rPr>
            </w:pPr>
          </w:p>
        </w:tc>
      </w:tr>
      <w:tr w:rsidR="00681130" w:rsidRPr="00681130" w14:paraId="436A8E19" w14:textId="77777777" w:rsidTr="00681130">
        <w:tc>
          <w:tcPr>
            <w:tcW w:w="2695" w:type="dxa"/>
          </w:tcPr>
          <w:p w14:paraId="43053DF2" w14:textId="77777777" w:rsidR="00681130" w:rsidRPr="00681130" w:rsidRDefault="00681130" w:rsidP="00681130">
            <w:pPr>
              <w:pStyle w:val="ListParagraph"/>
              <w:numPr>
                <w:ilvl w:val="0"/>
                <w:numId w:val="15"/>
              </w:numPr>
              <w:rPr>
                <w:rFonts w:asciiTheme="majorHAnsi" w:hAnsiTheme="majorHAnsi" w:cstheme="majorHAnsi"/>
                <w:sz w:val="20"/>
                <w:szCs w:val="20"/>
              </w:rPr>
            </w:pPr>
            <w:r w:rsidRPr="00681130">
              <w:rPr>
                <w:rFonts w:asciiTheme="majorHAnsi" w:hAnsiTheme="majorHAnsi" w:cstheme="majorHAnsi"/>
                <w:sz w:val="20"/>
                <w:szCs w:val="20"/>
              </w:rPr>
              <w:t>Calculate AUC</w:t>
            </w:r>
            <w:r w:rsidRPr="00681130">
              <w:rPr>
                <w:rFonts w:asciiTheme="majorHAnsi" w:hAnsiTheme="majorHAnsi" w:cstheme="majorHAnsi"/>
                <w:sz w:val="20"/>
                <w:szCs w:val="20"/>
                <w:vertAlign w:val="subscript"/>
              </w:rPr>
              <w:t>24</w:t>
            </w:r>
            <w:r w:rsidRPr="00681130">
              <w:rPr>
                <w:rFonts w:asciiTheme="majorHAnsi" w:hAnsiTheme="majorHAnsi" w:cstheme="majorHAnsi"/>
                <w:sz w:val="20"/>
                <w:szCs w:val="20"/>
              </w:rPr>
              <w:t xml:space="preserve"> (mg*h/L)</w:t>
            </w:r>
          </w:p>
        </w:tc>
        <w:tc>
          <w:tcPr>
            <w:tcW w:w="4494" w:type="dxa"/>
          </w:tcPr>
          <w:p w14:paraId="3B2647A7" w14:textId="77777777" w:rsidR="00681130" w:rsidRPr="00681130" w:rsidRDefault="00681130" w:rsidP="00681130">
            <w:pPr>
              <w:jc w:val="center"/>
              <w:rPr>
                <w:rFonts w:asciiTheme="majorHAnsi" w:eastAsia="Calibri" w:hAnsiTheme="majorHAnsi" w:cstheme="majorHAnsi"/>
                <w:sz w:val="20"/>
                <w:szCs w:val="20"/>
              </w:rPr>
            </w:pPr>
            <m:oMathPara>
              <m:oMath>
                <m:r>
                  <w:rPr>
                    <w:rFonts w:ascii="Cambria Math" w:eastAsia="Calibri" w:hAnsi="Cambria Math" w:cstheme="majorHAnsi"/>
                    <w:sz w:val="20"/>
                    <w:szCs w:val="20"/>
                  </w:rPr>
                  <m:t>AUC24=(</m:t>
                </m:r>
                <m:f>
                  <m:fPr>
                    <m:type m:val="lin"/>
                    <m:ctrlPr>
                      <w:rPr>
                        <w:rFonts w:ascii="Cambria Math" w:eastAsia="Calibri" w:hAnsi="Cambria Math" w:cstheme="majorHAnsi"/>
                        <w:i/>
                        <w:sz w:val="20"/>
                        <w:szCs w:val="20"/>
                      </w:rPr>
                    </m:ctrlPr>
                  </m:fPr>
                  <m:num>
                    <m:r>
                      <w:rPr>
                        <w:rFonts w:ascii="Cambria Math" w:eastAsia="Calibri" w:hAnsi="Cambria Math" w:cstheme="majorHAnsi"/>
                        <w:sz w:val="20"/>
                        <w:szCs w:val="20"/>
                      </w:rPr>
                      <m:t>Dose</m:t>
                    </m:r>
                  </m:num>
                  <m:den>
                    <m:r>
                      <w:rPr>
                        <w:rFonts w:ascii="Cambria Math" w:eastAsia="Calibri" w:hAnsi="Cambria Math" w:cstheme="majorHAnsi"/>
                        <w:sz w:val="20"/>
                        <w:szCs w:val="20"/>
                      </w:rPr>
                      <m:t>(Ke*Vd))*(24/Tau)</m:t>
                    </m:r>
                  </m:den>
                </m:f>
              </m:oMath>
            </m:oMathPara>
          </w:p>
        </w:tc>
        <w:tc>
          <w:tcPr>
            <w:tcW w:w="2161" w:type="dxa"/>
          </w:tcPr>
          <w:p w14:paraId="4697AA3C" w14:textId="77777777" w:rsidR="00681130" w:rsidRPr="00681130" w:rsidRDefault="00681130" w:rsidP="00681130">
            <w:pPr>
              <w:jc w:val="center"/>
              <w:rPr>
                <w:rFonts w:asciiTheme="majorHAnsi" w:eastAsia="Calibri" w:hAnsiTheme="majorHAnsi" w:cstheme="majorHAnsi"/>
                <w:sz w:val="20"/>
                <w:szCs w:val="20"/>
              </w:rPr>
            </w:pPr>
          </w:p>
        </w:tc>
      </w:tr>
      <w:tr w:rsidR="00681130" w:rsidRPr="00681130" w14:paraId="5F4AC318" w14:textId="77777777" w:rsidTr="00681130">
        <w:tc>
          <w:tcPr>
            <w:tcW w:w="2695" w:type="dxa"/>
          </w:tcPr>
          <w:p w14:paraId="69DA27CD" w14:textId="77777777" w:rsidR="00681130" w:rsidRPr="00681130" w:rsidRDefault="00681130" w:rsidP="00681130">
            <w:pPr>
              <w:pStyle w:val="ListParagraph"/>
              <w:numPr>
                <w:ilvl w:val="0"/>
                <w:numId w:val="15"/>
              </w:numPr>
              <w:rPr>
                <w:rFonts w:asciiTheme="majorHAnsi" w:hAnsiTheme="majorHAnsi" w:cstheme="majorHAnsi"/>
                <w:sz w:val="20"/>
                <w:szCs w:val="20"/>
              </w:rPr>
            </w:pPr>
            <w:r w:rsidRPr="00681130">
              <w:rPr>
                <w:rFonts w:asciiTheme="majorHAnsi" w:hAnsiTheme="majorHAnsi" w:cstheme="majorHAnsi"/>
                <w:sz w:val="20"/>
                <w:szCs w:val="20"/>
              </w:rPr>
              <w:t>Calculate new Dose</w:t>
            </w:r>
            <w:r w:rsidRPr="00681130">
              <w:rPr>
                <w:rFonts w:asciiTheme="majorHAnsi" w:hAnsiTheme="majorHAnsi" w:cstheme="majorHAnsi"/>
                <w:sz w:val="20"/>
                <w:szCs w:val="20"/>
                <w:vertAlign w:val="subscript"/>
              </w:rPr>
              <w:t>24</w:t>
            </w:r>
            <w:r w:rsidRPr="00681130">
              <w:rPr>
                <w:rFonts w:asciiTheme="majorHAnsi" w:hAnsiTheme="majorHAnsi" w:cstheme="majorHAnsi"/>
                <w:sz w:val="20"/>
                <w:szCs w:val="20"/>
              </w:rPr>
              <w:t xml:space="preserve"> to achieve target AUC</w:t>
            </w:r>
            <w:r w:rsidRPr="00681130">
              <w:rPr>
                <w:rFonts w:asciiTheme="majorHAnsi" w:hAnsiTheme="majorHAnsi" w:cstheme="majorHAnsi"/>
                <w:sz w:val="20"/>
                <w:szCs w:val="20"/>
                <w:vertAlign w:val="subscript"/>
              </w:rPr>
              <w:t>24</w:t>
            </w:r>
            <w:r w:rsidRPr="00681130">
              <w:rPr>
                <w:rFonts w:asciiTheme="majorHAnsi" w:hAnsiTheme="majorHAnsi" w:cstheme="majorHAnsi"/>
                <w:sz w:val="20"/>
                <w:szCs w:val="20"/>
                <w:vertAlign w:val="superscript"/>
              </w:rPr>
              <w:t xml:space="preserve"> </w:t>
            </w:r>
            <w:r w:rsidRPr="00681130">
              <w:rPr>
                <w:rFonts w:asciiTheme="majorHAnsi" w:hAnsiTheme="majorHAnsi" w:cstheme="majorHAnsi"/>
                <w:sz w:val="20"/>
                <w:szCs w:val="20"/>
              </w:rPr>
              <w:t>(mg)</w:t>
            </w:r>
          </w:p>
        </w:tc>
        <w:tc>
          <w:tcPr>
            <w:tcW w:w="4494" w:type="dxa"/>
          </w:tcPr>
          <w:p w14:paraId="7135D1B1" w14:textId="77777777" w:rsidR="00681130" w:rsidRPr="00681130" w:rsidRDefault="00681130" w:rsidP="00681130">
            <w:pPr>
              <w:jc w:val="center"/>
              <w:rPr>
                <w:rFonts w:asciiTheme="majorHAnsi" w:eastAsia="Calibri" w:hAnsiTheme="majorHAnsi" w:cstheme="majorHAnsi"/>
                <w:sz w:val="20"/>
                <w:szCs w:val="20"/>
              </w:rPr>
            </w:pPr>
            <m:oMathPara>
              <m:oMath>
                <m:r>
                  <w:rPr>
                    <w:rFonts w:ascii="Cambria Math" w:eastAsia="Times New Roman" w:hAnsi="Cambria Math" w:cstheme="majorHAnsi"/>
                    <w:sz w:val="20"/>
                    <w:szCs w:val="20"/>
                  </w:rPr>
                  <m:t>Dose24=CL*AUC24</m:t>
                </m:r>
              </m:oMath>
            </m:oMathPara>
          </w:p>
        </w:tc>
        <w:tc>
          <w:tcPr>
            <w:tcW w:w="2161" w:type="dxa"/>
          </w:tcPr>
          <w:p w14:paraId="38BA548F" w14:textId="77777777" w:rsidR="00681130" w:rsidRPr="00681130" w:rsidRDefault="00681130" w:rsidP="00681130">
            <w:pPr>
              <w:jc w:val="center"/>
              <w:rPr>
                <w:rFonts w:asciiTheme="majorHAnsi" w:eastAsia="Calibri" w:hAnsiTheme="majorHAnsi" w:cstheme="majorHAnsi"/>
                <w:sz w:val="20"/>
                <w:szCs w:val="20"/>
              </w:rPr>
            </w:pPr>
          </w:p>
        </w:tc>
      </w:tr>
      <w:tr w:rsidR="00681130" w:rsidRPr="00681130" w14:paraId="0238A5DF" w14:textId="77777777" w:rsidTr="00681130">
        <w:tc>
          <w:tcPr>
            <w:tcW w:w="2695" w:type="dxa"/>
          </w:tcPr>
          <w:p w14:paraId="522B650E" w14:textId="77777777" w:rsidR="00681130" w:rsidRPr="00681130" w:rsidRDefault="00681130" w:rsidP="00681130">
            <w:pPr>
              <w:pStyle w:val="ListParagraph"/>
              <w:numPr>
                <w:ilvl w:val="0"/>
                <w:numId w:val="15"/>
              </w:numPr>
              <w:rPr>
                <w:rFonts w:asciiTheme="majorHAnsi" w:hAnsiTheme="majorHAnsi" w:cstheme="majorHAnsi"/>
                <w:sz w:val="20"/>
                <w:szCs w:val="20"/>
              </w:rPr>
            </w:pPr>
            <w:r w:rsidRPr="00681130">
              <w:rPr>
                <w:rFonts w:asciiTheme="majorHAnsi" w:hAnsiTheme="majorHAnsi" w:cstheme="majorHAnsi"/>
                <w:sz w:val="20"/>
                <w:szCs w:val="20"/>
              </w:rPr>
              <w:t>Calculate the new Tau (h)</w:t>
            </w:r>
          </w:p>
        </w:tc>
        <w:tc>
          <w:tcPr>
            <w:tcW w:w="4494" w:type="dxa"/>
          </w:tcPr>
          <w:p w14:paraId="65D0B528" w14:textId="77777777" w:rsidR="00681130" w:rsidRPr="00681130" w:rsidRDefault="00681130" w:rsidP="00681130">
            <w:pPr>
              <w:jc w:val="center"/>
              <w:rPr>
                <w:rFonts w:asciiTheme="majorHAnsi" w:eastAsia="Calibri" w:hAnsiTheme="majorHAnsi" w:cstheme="majorHAnsi"/>
                <w:sz w:val="20"/>
                <w:szCs w:val="20"/>
              </w:rPr>
            </w:pPr>
            <m:oMathPara>
              <m:oMath>
                <m:r>
                  <w:rPr>
                    <w:rFonts w:ascii="Cambria Math" w:hAnsi="Cambria Math" w:cstheme="majorHAnsi"/>
                    <w:sz w:val="20"/>
                    <w:szCs w:val="20"/>
                  </w:rPr>
                  <m:t xml:space="preserve">Tau= </m:t>
                </m:r>
                <m:f>
                  <m:fPr>
                    <m:ctrlPr>
                      <w:rPr>
                        <w:rFonts w:ascii="Cambria Math" w:hAnsi="Cambria Math" w:cstheme="majorHAnsi"/>
                        <w:i/>
                        <w:sz w:val="20"/>
                        <w:szCs w:val="20"/>
                      </w:rPr>
                    </m:ctrlPr>
                  </m:fPr>
                  <m:num>
                    <m:f>
                      <m:fPr>
                        <m:type m:val="lin"/>
                        <m:ctrlPr>
                          <w:rPr>
                            <w:rFonts w:ascii="Cambria Math" w:hAnsi="Cambria Math" w:cstheme="majorHAnsi"/>
                            <w:i/>
                            <w:sz w:val="20"/>
                            <w:szCs w:val="20"/>
                          </w:rPr>
                        </m:ctrlPr>
                      </m:fPr>
                      <m:num>
                        <m:r>
                          <w:rPr>
                            <w:rFonts w:ascii="Cambria Math" w:eastAsia="Calibri" w:hAnsi="Cambria Math" w:cstheme="majorHAnsi"/>
                            <w:sz w:val="20"/>
                            <w:szCs w:val="20"/>
                          </w:rPr>
                          <m:t>ln</m:t>
                        </m:r>
                        <m:r>
                          <w:rPr>
                            <w:rFonts w:ascii="Cambria Math" w:hAnsi="Cambria Math" w:cstheme="majorHAnsi"/>
                            <w:sz w:val="20"/>
                            <w:szCs w:val="20"/>
                          </w:rPr>
                          <m:t>(Cmax,desired</m:t>
                        </m:r>
                      </m:num>
                      <m:den>
                        <m:r>
                          <w:rPr>
                            <w:rFonts w:ascii="Cambria Math" w:hAnsi="Cambria Math" w:cstheme="majorHAnsi"/>
                            <w:sz w:val="20"/>
                            <w:szCs w:val="20"/>
                          </w:rPr>
                          <m:t>Ctr,desired)</m:t>
                        </m:r>
                      </m:den>
                    </m:f>
                  </m:num>
                  <m:den>
                    <m:r>
                      <w:rPr>
                        <w:rFonts w:ascii="Cambria Math" w:hAnsi="Cambria Math" w:cstheme="majorHAnsi"/>
                        <w:sz w:val="20"/>
                        <w:szCs w:val="20"/>
                      </w:rPr>
                      <m:t>Ke</m:t>
                    </m:r>
                  </m:den>
                </m:f>
                <m:r>
                  <w:rPr>
                    <w:rFonts w:ascii="Cambria Math" w:hAnsi="Cambria Math" w:cstheme="majorHAnsi"/>
                    <w:sz w:val="20"/>
                    <w:szCs w:val="20"/>
                  </w:rPr>
                  <m:t>+tinf</m:t>
                </m:r>
              </m:oMath>
            </m:oMathPara>
          </w:p>
          <w:p w14:paraId="12C2AF07" w14:textId="77777777" w:rsidR="00681130" w:rsidRPr="00681130" w:rsidRDefault="00681130" w:rsidP="00681130">
            <w:pPr>
              <w:jc w:val="center"/>
              <w:rPr>
                <w:rFonts w:asciiTheme="majorHAnsi" w:eastAsia="Calibri" w:hAnsiTheme="majorHAnsi" w:cstheme="majorHAnsi"/>
                <w:sz w:val="20"/>
                <w:szCs w:val="20"/>
              </w:rPr>
            </w:pPr>
          </w:p>
        </w:tc>
        <w:tc>
          <w:tcPr>
            <w:tcW w:w="2161" w:type="dxa"/>
          </w:tcPr>
          <w:p w14:paraId="51C15DCF" w14:textId="77777777" w:rsidR="00681130" w:rsidRPr="00681130" w:rsidRDefault="00681130" w:rsidP="00681130">
            <w:pPr>
              <w:jc w:val="center"/>
              <w:rPr>
                <w:rFonts w:asciiTheme="majorHAnsi" w:eastAsia="Calibri" w:hAnsiTheme="majorHAnsi" w:cstheme="majorHAnsi"/>
                <w:sz w:val="20"/>
                <w:szCs w:val="20"/>
              </w:rPr>
            </w:pPr>
          </w:p>
        </w:tc>
      </w:tr>
      <w:tr w:rsidR="00681130" w:rsidRPr="00681130" w14:paraId="75AB979B" w14:textId="77777777" w:rsidTr="00681130">
        <w:tc>
          <w:tcPr>
            <w:tcW w:w="2695" w:type="dxa"/>
          </w:tcPr>
          <w:p w14:paraId="523FFD0E" w14:textId="77777777" w:rsidR="00681130" w:rsidRPr="00681130" w:rsidRDefault="00681130" w:rsidP="00681130">
            <w:pPr>
              <w:pStyle w:val="ListParagraph"/>
              <w:numPr>
                <w:ilvl w:val="0"/>
                <w:numId w:val="15"/>
              </w:numPr>
              <w:rPr>
                <w:rFonts w:asciiTheme="majorHAnsi" w:hAnsiTheme="majorHAnsi" w:cstheme="majorHAnsi"/>
                <w:sz w:val="20"/>
                <w:szCs w:val="20"/>
              </w:rPr>
            </w:pPr>
            <w:r w:rsidRPr="00681130">
              <w:rPr>
                <w:rFonts w:asciiTheme="majorHAnsi" w:hAnsiTheme="majorHAnsi" w:cstheme="majorHAnsi"/>
                <w:sz w:val="20"/>
                <w:szCs w:val="20"/>
              </w:rPr>
              <w:t>Calculate new MD (mg)</w:t>
            </w:r>
          </w:p>
        </w:tc>
        <w:tc>
          <w:tcPr>
            <w:tcW w:w="4494" w:type="dxa"/>
          </w:tcPr>
          <w:p w14:paraId="7BDBDFE5" w14:textId="77777777" w:rsidR="00681130" w:rsidRPr="00681130" w:rsidRDefault="00681130" w:rsidP="00681130">
            <w:pPr>
              <w:jc w:val="center"/>
              <w:rPr>
                <w:rFonts w:asciiTheme="majorHAnsi" w:eastAsia="Calibri" w:hAnsiTheme="majorHAnsi" w:cstheme="majorHAnsi"/>
                <w:sz w:val="20"/>
                <w:szCs w:val="20"/>
              </w:rPr>
            </w:pPr>
            <m:oMathPara>
              <m:oMath>
                <m:r>
                  <w:rPr>
                    <w:rFonts w:ascii="Cambria Math" w:eastAsia="Times New Roman" w:hAnsi="Cambria Math" w:cstheme="majorHAnsi"/>
                    <w:sz w:val="20"/>
                    <w:szCs w:val="20"/>
                  </w:rPr>
                  <m:t>MD=</m:t>
                </m:r>
                <m:f>
                  <m:fPr>
                    <m:ctrlPr>
                      <w:rPr>
                        <w:rFonts w:ascii="Cambria Math" w:eastAsia="Times New Roman" w:hAnsi="Cambria Math" w:cstheme="majorHAnsi"/>
                        <w:i/>
                        <w:sz w:val="20"/>
                        <w:szCs w:val="20"/>
                      </w:rPr>
                    </m:ctrlPr>
                  </m:fPr>
                  <m:num>
                    <m:r>
                      <w:rPr>
                        <w:rFonts w:ascii="Cambria Math" w:eastAsia="Times New Roman" w:hAnsi="Cambria Math" w:cstheme="majorHAnsi"/>
                        <w:sz w:val="20"/>
                        <w:szCs w:val="20"/>
                      </w:rPr>
                      <m:t>Dose24</m:t>
                    </m:r>
                  </m:num>
                  <m:den>
                    <m:f>
                      <m:fPr>
                        <m:type m:val="lin"/>
                        <m:ctrlPr>
                          <w:rPr>
                            <w:rFonts w:ascii="Cambria Math" w:eastAsia="Times New Roman" w:hAnsi="Cambria Math" w:cstheme="majorHAnsi"/>
                            <w:i/>
                            <w:sz w:val="20"/>
                            <w:szCs w:val="20"/>
                          </w:rPr>
                        </m:ctrlPr>
                      </m:fPr>
                      <m:num>
                        <m:r>
                          <w:rPr>
                            <w:rFonts w:ascii="Cambria Math" w:eastAsia="Times New Roman" w:hAnsi="Cambria Math" w:cstheme="majorHAnsi"/>
                            <w:sz w:val="20"/>
                            <w:szCs w:val="20"/>
                          </w:rPr>
                          <m:t>24</m:t>
                        </m:r>
                      </m:num>
                      <m:den>
                        <m:r>
                          <w:rPr>
                            <w:rFonts w:ascii="Cambria Math" w:eastAsia="Times New Roman" w:hAnsi="Cambria Math" w:cstheme="majorHAnsi"/>
                            <w:sz w:val="20"/>
                            <w:szCs w:val="20"/>
                          </w:rPr>
                          <m:t>Tau</m:t>
                        </m:r>
                      </m:den>
                    </m:f>
                  </m:den>
                </m:f>
              </m:oMath>
            </m:oMathPara>
          </w:p>
        </w:tc>
        <w:tc>
          <w:tcPr>
            <w:tcW w:w="2161" w:type="dxa"/>
          </w:tcPr>
          <w:p w14:paraId="3D2954EB" w14:textId="77777777" w:rsidR="00681130" w:rsidRPr="00681130" w:rsidRDefault="00681130" w:rsidP="00681130">
            <w:pPr>
              <w:jc w:val="center"/>
              <w:rPr>
                <w:rFonts w:asciiTheme="majorHAnsi" w:eastAsia="Calibri" w:hAnsiTheme="majorHAnsi" w:cstheme="majorHAnsi"/>
                <w:sz w:val="20"/>
                <w:szCs w:val="20"/>
              </w:rPr>
            </w:pPr>
          </w:p>
        </w:tc>
      </w:tr>
    </w:tbl>
    <w:p w14:paraId="52E40626" w14:textId="77777777" w:rsidR="00681130" w:rsidRPr="00681130" w:rsidRDefault="00681130" w:rsidP="00681130">
      <w:pPr>
        <w:spacing w:line="240" w:lineRule="auto"/>
        <w:rPr>
          <w:rFonts w:asciiTheme="majorHAnsi" w:hAnsiTheme="majorHAnsi" w:cstheme="majorHAnsi"/>
          <w:sz w:val="20"/>
          <w:szCs w:val="20"/>
        </w:rPr>
      </w:pPr>
    </w:p>
    <w:p w14:paraId="6CAE725D" w14:textId="77777777" w:rsidR="00681130" w:rsidRDefault="00681130" w:rsidP="00681130">
      <w:pPr>
        <w:spacing w:line="240" w:lineRule="auto"/>
        <w:rPr>
          <w:rFonts w:asciiTheme="majorHAnsi" w:hAnsiTheme="majorHAnsi" w:cstheme="majorHAnsi"/>
          <w:sz w:val="20"/>
          <w:szCs w:val="20"/>
        </w:rPr>
      </w:pPr>
    </w:p>
    <w:p w14:paraId="1F10223F" w14:textId="77777777" w:rsidR="00681130" w:rsidRDefault="00681130" w:rsidP="00681130">
      <w:pPr>
        <w:spacing w:line="240" w:lineRule="auto"/>
        <w:rPr>
          <w:rFonts w:asciiTheme="majorHAnsi" w:hAnsiTheme="majorHAnsi" w:cstheme="majorHAnsi"/>
          <w:sz w:val="20"/>
          <w:szCs w:val="20"/>
        </w:rPr>
      </w:pPr>
    </w:p>
    <w:p w14:paraId="6AC053B9" w14:textId="77777777" w:rsidR="00681130" w:rsidRDefault="00681130" w:rsidP="00681130">
      <w:pPr>
        <w:spacing w:line="240" w:lineRule="auto"/>
        <w:rPr>
          <w:rFonts w:asciiTheme="majorHAnsi" w:hAnsiTheme="majorHAnsi" w:cstheme="majorHAnsi"/>
          <w:sz w:val="20"/>
          <w:szCs w:val="20"/>
        </w:rPr>
      </w:pPr>
    </w:p>
    <w:p w14:paraId="3FC2AC86" w14:textId="77777777" w:rsidR="00681130" w:rsidRDefault="00681130" w:rsidP="00681130">
      <w:pPr>
        <w:spacing w:line="240" w:lineRule="auto"/>
        <w:rPr>
          <w:rFonts w:asciiTheme="majorHAnsi" w:hAnsiTheme="majorHAnsi" w:cstheme="majorHAnsi"/>
          <w:sz w:val="20"/>
          <w:szCs w:val="20"/>
        </w:rPr>
      </w:pPr>
    </w:p>
    <w:p w14:paraId="75C1C7AD" w14:textId="77777777" w:rsidR="00681130" w:rsidRDefault="00681130" w:rsidP="00681130">
      <w:pPr>
        <w:spacing w:line="240" w:lineRule="auto"/>
        <w:rPr>
          <w:rFonts w:asciiTheme="majorHAnsi" w:hAnsiTheme="majorHAnsi" w:cstheme="majorHAnsi"/>
          <w:sz w:val="20"/>
          <w:szCs w:val="20"/>
        </w:rPr>
      </w:pPr>
    </w:p>
    <w:p w14:paraId="3BCD6F5A" w14:textId="77777777" w:rsidR="00681130" w:rsidRDefault="00681130" w:rsidP="00681130">
      <w:pPr>
        <w:spacing w:line="240" w:lineRule="auto"/>
        <w:rPr>
          <w:rFonts w:asciiTheme="majorHAnsi" w:hAnsiTheme="majorHAnsi" w:cstheme="majorHAnsi"/>
          <w:sz w:val="20"/>
          <w:szCs w:val="20"/>
        </w:rPr>
      </w:pPr>
    </w:p>
    <w:p w14:paraId="4BDE2824" w14:textId="77777777" w:rsidR="00681130" w:rsidRDefault="00681130" w:rsidP="00681130">
      <w:pPr>
        <w:spacing w:line="240" w:lineRule="auto"/>
        <w:rPr>
          <w:rFonts w:asciiTheme="majorHAnsi" w:hAnsiTheme="majorHAnsi" w:cstheme="majorHAnsi"/>
          <w:sz w:val="20"/>
          <w:szCs w:val="20"/>
        </w:rPr>
      </w:pPr>
    </w:p>
    <w:p w14:paraId="133C1412" w14:textId="373CB9F5" w:rsidR="00681130" w:rsidRDefault="00681130" w:rsidP="00681130">
      <w:pPr>
        <w:spacing w:line="240" w:lineRule="auto"/>
        <w:rPr>
          <w:rFonts w:asciiTheme="majorHAnsi" w:hAnsiTheme="majorHAnsi" w:cstheme="majorHAnsi"/>
          <w:sz w:val="20"/>
          <w:szCs w:val="20"/>
        </w:rPr>
      </w:pPr>
    </w:p>
    <w:p w14:paraId="2FB6B0DD" w14:textId="0EABE55B" w:rsidR="00C55F5C" w:rsidRDefault="00C55F5C" w:rsidP="00681130">
      <w:pPr>
        <w:spacing w:line="240" w:lineRule="auto"/>
        <w:rPr>
          <w:rFonts w:asciiTheme="majorHAnsi" w:hAnsiTheme="majorHAnsi" w:cstheme="majorHAnsi"/>
          <w:sz w:val="20"/>
          <w:szCs w:val="20"/>
        </w:rPr>
      </w:pPr>
    </w:p>
    <w:p w14:paraId="738A8A14" w14:textId="24E0200C" w:rsidR="00C55F5C" w:rsidRDefault="00C55F5C" w:rsidP="00681130">
      <w:pPr>
        <w:spacing w:line="240" w:lineRule="auto"/>
        <w:rPr>
          <w:rFonts w:asciiTheme="majorHAnsi" w:hAnsiTheme="majorHAnsi" w:cstheme="majorHAnsi"/>
          <w:sz w:val="20"/>
          <w:szCs w:val="20"/>
        </w:rPr>
      </w:pPr>
    </w:p>
    <w:p w14:paraId="453A2CB9" w14:textId="63D2902B" w:rsidR="00C55F5C" w:rsidRDefault="00C55F5C" w:rsidP="00681130">
      <w:pPr>
        <w:spacing w:line="240" w:lineRule="auto"/>
        <w:rPr>
          <w:rFonts w:asciiTheme="majorHAnsi" w:hAnsiTheme="majorHAnsi" w:cstheme="majorHAnsi"/>
          <w:sz w:val="20"/>
          <w:szCs w:val="20"/>
        </w:rPr>
      </w:pPr>
    </w:p>
    <w:p w14:paraId="1FF1AF18" w14:textId="77777777" w:rsidR="00C55F5C" w:rsidRDefault="00C55F5C" w:rsidP="00681130">
      <w:pPr>
        <w:spacing w:line="240" w:lineRule="auto"/>
        <w:rPr>
          <w:rFonts w:asciiTheme="majorHAnsi" w:hAnsiTheme="majorHAnsi" w:cstheme="majorHAnsi"/>
          <w:sz w:val="20"/>
          <w:szCs w:val="20"/>
        </w:rPr>
      </w:pPr>
    </w:p>
    <w:p w14:paraId="59AA896C" w14:textId="77777777" w:rsidR="00681130" w:rsidRDefault="00681130" w:rsidP="00681130">
      <w:pPr>
        <w:spacing w:line="240" w:lineRule="auto"/>
        <w:rPr>
          <w:rFonts w:asciiTheme="majorHAnsi" w:hAnsiTheme="majorHAnsi" w:cstheme="majorHAnsi"/>
          <w:sz w:val="20"/>
          <w:szCs w:val="20"/>
        </w:rPr>
      </w:pPr>
    </w:p>
    <w:p w14:paraId="10CCCEED" w14:textId="71B2210B" w:rsidR="00681130" w:rsidRPr="00681130" w:rsidRDefault="00681130" w:rsidP="00681130">
      <w:pPr>
        <w:spacing w:line="240" w:lineRule="auto"/>
        <w:rPr>
          <w:rFonts w:asciiTheme="majorHAnsi" w:hAnsiTheme="majorHAnsi" w:cstheme="majorHAnsi"/>
          <w:sz w:val="20"/>
          <w:szCs w:val="20"/>
        </w:rPr>
      </w:pPr>
      <w:r w:rsidRPr="00681130">
        <w:rPr>
          <w:rFonts w:asciiTheme="majorHAnsi" w:hAnsiTheme="majorHAnsi" w:cstheme="majorHAnsi"/>
          <w:sz w:val="20"/>
          <w:szCs w:val="20"/>
        </w:rPr>
        <w:t>Two-Level Pharmacokinetic Calculations for Patients at Steady-State (Trapezoidal Method)</w:t>
      </w:r>
    </w:p>
    <w:p w14:paraId="1C2B1BE3" w14:textId="77777777" w:rsidR="00681130" w:rsidRPr="00681130" w:rsidRDefault="00681130" w:rsidP="00681130">
      <w:pPr>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2695"/>
        <w:gridCol w:w="4494"/>
        <w:gridCol w:w="2161"/>
      </w:tblGrid>
      <w:tr w:rsidR="00681130" w:rsidRPr="00681130" w14:paraId="27D13831" w14:textId="77777777" w:rsidTr="00681130">
        <w:tc>
          <w:tcPr>
            <w:tcW w:w="2695" w:type="dxa"/>
          </w:tcPr>
          <w:p w14:paraId="3CD99960" w14:textId="77777777" w:rsidR="00681130" w:rsidRPr="00681130" w:rsidRDefault="00681130" w:rsidP="00681130">
            <w:pPr>
              <w:jc w:val="center"/>
              <w:rPr>
                <w:rFonts w:asciiTheme="majorHAnsi" w:hAnsiTheme="majorHAnsi" w:cstheme="majorHAnsi"/>
                <w:b/>
                <w:sz w:val="20"/>
                <w:szCs w:val="20"/>
              </w:rPr>
            </w:pPr>
            <w:r w:rsidRPr="00681130">
              <w:rPr>
                <w:rFonts w:asciiTheme="majorHAnsi" w:hAnsiTheme="majorHAnsi" w:cstheme="majorHAnsi"/>
                <w:b/>
                <w:sz w:val="20"/>
                <w:szCs w:val="20"/>
              </w:rPr>
              <w:t>Step</w:t>
            </w:r>
          </w:p>
        </w:tc>
        <w:tc>
          <w:tcPr>
            <w:tcW w:w="4494" w:type="dxa"/>
          </w:tcPr>
          <w:p w14:paraId="02DDBD6A" w14:textId="77777777" w:rsidR="00681130" w:rsidRPr="00681130" w:rsidRDefault="00681130" w:rsidP="00681130">
            <w:pPr>
              <w:jc w:val="center"/>
              <w:rPr>
                <w:rFonts w:asciiTheme="majorHAnsi" w:hAnsiTheme="majorHAnsi" w:cstheme="majorHAnsi"/>
                <w:b/>
                <w:sz w:val="20"/>
                <w:szCs w:val="20"/>
              </w:rPr>
            </w:pPr>
            <w:r w:rsidRPr="00681130">
              <w:rPr>
                <w:rFonts w:asciiTheme="majorHAnsi" w:hAnsiTheme="majorHAnsi" w:cstheme="majorHAnsi"/>
                <w:b/>
                <w:sz w:val="20"/>
                <w:szCs w:val="20"/>
              </w:rPr>
              <w:t>Equation</w:t>
            </w:r>
          </w:p>
        </w:tc>
        <w:tc>
          <w:tcPr>
            <w:tcW w:w="2161" w:type="dxa"/>
          </w:tcPr>
          <w:p w14:paraId="0FB82E34" w14:textId="77777777" w:rsidR="00681130" w:rsidRPr="00681130" w:rsidRDefault="00681130" w:rsidP="00681130">
            <w:pPr>
              <w:jc w:val="center"/>
              <w:rPr>
                <w:rFonts w:asciiTheme="majorHAnsi" w:hAnsiTheme="majorHAnsi" w:cstheme="majorHAnsi"/>
                <w:b/>
                <w:sz w:val="20"/>
                <w:szCs w:val="20"/>
              </w:rPr>
            </w:pPr>
            <w:r w:rsidRPr="00681130">
              <w:rPr>
                <w:rFonts w:asciiTheme="majorHAnsi" w:hAnsiTheme="majorHAnsi" w:cstheme="majorHAnsi"/>
                <w:b/>
                <w:sz w:val="20"/>
                <w:szCs w:val="20"/>
              </w:rPr>
              <w:t>Notes</w:t>
            </w:r>
          </w:p>
        </w:tc>
      </w:tr>
      <w:tr w:rsidR="00681130" w:rsidRPr="00681130" w14:paraId="5AF4DD5C" w14:textId="77777777" w:rsidTr="00681130">
        <w:tc>
          <w:tcPr>
            <w:tcW w:w="2695" w:type="dxa"/>
          </w:tcPr>
          <w:p w14:paraId="20657C3B" w14:textId="77777777" w:rsidR="00681130" w:rsidRPr="00681130" w:rsidRDefault="00681130" w:rsidP="00681130">
            <w:pPr>
              <w:pStyle w:val="ListParagraph"/>
              <w:numPr>
                <w:ilvl w:val="0"/>
                <w:numId w:val="16"/>
              </w:numPr>
              <w:rPr>
                <w:rFonts w:asciiTheme="majorHAnsi" w:hAnsiTheme="majorHAnsi" w:cstheme="majorHAnsi"/>
                <w:sz w:val="20"/>
                <w:szCs w:val="20"/>
              </w:rPr>
            </w:pPr>
            <w:r w:rsidRPr="00681130">
              <w:rPr>
                <w:rFonts w:asciiTheme="majorHAnsi" w:hAnsiTheme="majorHAnsi" w:cstheme="majorHAnsi"/>
                <w:sz w:val="20"/>
                <w:szCs w:val="20"/>
              </w:rPr>
              <w:t>Calculate rate of elimination (K</w:t>
            </w:r>
            <w:r w:rsidRPr="00681130">
              <w:rPr>
                <w:rFonts w:asciiTheme="majorHAnsi" w:hAnsiTheme="majorHAnsi" w:cstheme="majorHAnsi"/>
                <w:sz w:val="20"/>
                <w:szCs w:val="20"/>
                <w:vertAlign w:val="subscript"/>
              </w:rPr>
              <w:t>e</w:t>
            </w:r>
            <w:r w:rsidRPr="00681130">
              <w:rPr>
                <w:rFonts w:asciiTheme="majorHAnsi" w:hAnsiTheme="majorHAnsi" w:cstheme="majorHAnsi"/>
                <w:sz w:val="20"/>
                <w:szCs w:val="20"/>
              </w:rPr>
              <w:t>, h</w:t>
            </w:r>
            <w:r w:rsidRPr="00681130">
              <w:rPr>
                <w:rFonts w:asciiTheme="majorHAnsi" w:hAnsiTheme="majorHAnsi" w:cstheme="majorHAnsi"/>
                <w:sz w:val="20"/>
                <w:szCs w:val="20"/>
                <w:vertAlign w:val="superscript"/>
              </w:rPr>
              <w:t>-1</w:t>
            </w:r>
            <w:r w:rsidRPr="00681130">
              <w:rPr>
                <w:rFonts w:asciiTheme="majorHAnsi" w:hAnsiTheme="majorHAnsi" w:cstheme="majorHAnsi"/>
                <w:sz w:val="20"/>
                <w:szCs w:val="20"/>
              </w:rPr>
              <w:t>)</w:t>
            </w:r>
          </w:p>
        </w:tc>
        <w:tc>
          <w:tcPr>
            <w:tcW w:w="4494" w:type="dxa"/>
          </w:tcPr>
          <w:p w14:paraId="705BA166" w14:textId="77777777" w:rsidR="00681130" w:rsidRPr="00681130" w:rsidRDefault="00681130" w:rsidP="00681130">
            <w:pPr>
              <w:jc w:val="center"/>
              <w:rPr>
                <w:rFonts w:asciiTheme="majorHAnsi" w:eastAsiaTheme="minorEastAsia" w:hAnsiTheme="majorHAnsi" w:cstheme="majorHAnsi"/>
                <w:sz w:val="20"/>
                <w:szCs w:val="20"/>
              </w:rPr>
            </w:pPr>
            <m:oMathPara>
              <m:oMath>
                <m:r>
                  <w:rPr>
                    <w:rFonts w:ascii="Cambria Math" w:hAnsi="Cambria Math" w:cstheme="majorHAnsi"/>
                    <w:sz w:val="20"/>
                    <w:szCs w:val="20"/>
                  </w:rPr>
                  <m:t xml:space="preserve">Ke= </m:t>
                </m:r>
                <m:f>
                  <m:fPr>
                    <m:ctrlPr>
                      <w:rPr>
                        <w:rFonts w:ascii="Cambria Math" w:hAnsi="Cambria Math" w:cstheme="majorHAnsi"/>
                        <w:i/>
                        <w:sz w:val="20"/>
                        <w:szCs w:val="20"/>
                      </w:rPr>
                    </m:ctrlPr>
                  </m:fPr>
                  <m:num>
                    <m:f>
                      <m:fPr>
                        <m:type m:val="lin"/>
                        <m:ctrlPr>
                          <w:rPr>
                            <w:rFonts w:ascii="Cambria Math" w:hAnsi="Cambria Math" w:cstheme="majorHAnsi"/>
                            <w:i/>
                            <w:sz w:val="20"/>
                            <w:szCs w:val="20"/>
                          </w:rPr>
                        </m:ctrlPr>
                      </m:fPr>
                      <m:num>
                        <m:r>
                          <w:rPr>
                            <w:rFonts w:ascii="Cambria Math" w:hAnsi="Cambria Math" w:cstheme="majorHAnsi"/>
                            <w:sz w:val="20"/>
                            <w:szCs w:val="20"/>
                          </w:rPr>
                          <m:t>ln(C1</m:t>
                        </m:r>
                      </m:num>
                      <m:den>
                        <m:r>
                          <w:rPr>
                            <w:rFonts w:ascii="Cambria Math" w:hAnsi="Cambria Math" w:cstheme="majorHAnsi"/>
                            <w:sz w:val="20"/>
                            <w:szCs w:val="20"/>
                          </w:rPr>
                          <m:t>C2)</m:t>
                        </m:r>
                      </m:den>
                    </m:f>
                  </m:num>
                  <m:den>
                    <m:r>
                      <w:rPr>
                        <w:rFonts w:ascii="Cambria Math" w:hAnsi="Cambria Math" w:cstheme="majorHAnsi"/>
                        <w:sz w:val="20"/>
                        <w:szCs w:val="20"/>
                      </w:rPr>
                      <m:t>∆T</m:t>
                    </m:r>
                  </m:den>
                </m:f>
              </m:oMath>
            </m:oMathPara>
          </w:p>
        </w:tc>
        <w:tc>
          <w:tcPr>
            <w:tcW w:w="2161" w:type="dxa"/>
          </w:tcPr>
          <w:p w14:paraId="064BA837" w14:textId="77777777" w:rsidR="00681130" w:rsidRPr="00681130" w:rsidRDefault="00681130" w:rsidP="00681130">
            <w:pPr>
              <w:jc w:val="center"/>
              <w:rPr>
                <w:rFonts w:asciiTheme="majorHAnsi" w:eastAsia="Calibri" w:hAnsiTheme="majorHAnsi" w:cstheme="majorHAnsi"/>
                <w:sz w:val="20"/>
                <w:szCs w:val="20"/>
              </w:rPr>
            </w:pPr>
            <w:r w:rsidRPr="00681130">
              <w:rPr>
                <w:rFonts w:asciiTheme="majorHAnsi" w:eastAsia="Calibri" w:hAnsiTheme="majorHAnsi" w:cstheme="majorHAnsi"/>
                <w:sz w:val="20"/>
                <w:szCs w:val="20"/>
              </w:rPr>
              <w:t>C1=Higher concentration</w:t>
            </w:r>
          </w:p>
          <w:p w14:paraId="1F80F7A9" w14:textId="77777777" w:rsidR="00681130" w:rsidRPr="00681130" w:rsidRDefault="00681130" w:rsidP="00681130">
            <w:pPr>
              <w:jc w:val="center"/>
              <w:rPr>
                <w:rFonts w:asciiTheme="majorHAnsi" w:eastAsia="Calibri" w:hAnsiTheme="majorHAnsi" w:cstheme="majorHAnsi"/>
                <w:sz w:val="20"/>
                <w:szCs w:val="20"/>
              </w:rPr>
            </w:pPr>
            <w:r w:rsidRPr="00681130">
              <w:rPr>
                <w:rFonts w:asciiTheme="majorHAnsi" w:eastAsia="Calibri" w:hAnsiTheme="majorHAnsi" w:cstheme="majorHAnsi"/>
                <w:sz w:val="20"/>
                <w:szCs w:val="20"/>
              </w:rPr>
              <w:t>C2=Lower concentration</w:t>
            </w:r>
          </w:p>
          <w:p w14:paraId="31A9D248" w14:textId="77777777" w:rsidR="00681130" w:rsidRPr="00681130" w:rsidRDefault="00681130" w:rsidP="00681130">
            <w:pPr>
              <w:jc w:val="center"/>
              <w:rPr>
                <w:rFonts w:asciiTheme="majorHAnsi" w:eastAsia="Calibri" w:hAnsiTheme="majorHAnsi" w:cstheme="majorHAnsi"/>
                <w:sz w:val="20"/>
                <w:szCs w:val="20"/>
              </w:rPr>
            </w:pPr>
            <w:r w:rsidRPr="00681130">
              <w:rPr>
                <w:rFonts w:asciiTheme="majorHAnsi" w:eastAsia="Calibri" w:hAnsiTheme="majorHAnsi" w:cstheme="majorHAnsi"/>
                <w:sz w:val="20"/>
                <w:szCs w:val="20"/>
              </w:rPr>
              <w:t>∆T=Time between concentrations</w:t>
            </w:r>
          </w:p>
        </w:tc>
      </w:tr>
      <w:tr w:rsidR="00681130" w:rsidRPr="00681130" w14:paraId="55F450E9" w14:textId="77777777" w:rsidTr="00681130">
        <w:trPr>
          <w:trHeight w:val="566"/>
        </w:trPr>
        <w:tc>
          <w:tcPr>
            <w:tcW w:w="2695" w:type="dxa"/>
          </w:tcPr>
          <w:p w14:paraId="7EDCFE04" w14:textId="77777777" w:rsidR="00681130" w:rsidRPr="00681130" w:rsidRDefault="00681130" w:rsidP="00681130">
            <w:pPr>
              <w:pStyle w:val="ListParagraph"/>
              <w:numPr>
                <w:ilvl w:val="0"/>
                <w:numId w:val="16"/>
              </w:numPr>
              <w:rPr>
                <w:rFonts w:asciiTheme="majorHAnsi" w:hAnsiTheme="majorHAnsi" w:cstheme="majorHAnsi"/>
                <w:sz w:val="20"/>
                <w:szCs w:val="20"/>
              </w:rPr>
            </w:pPr>
            <w:r w:rsidRPr="00681130">
              <w:rPr>
                <w:rFonts w:asciiTheme="majorHAnsi" w:hAnsiTheme="majorHAnsi" w:cstheme="majorHAnsi"/>
                <w:sz w:val="20"/>
                <w:szCs w:val="20"/>
              </w:rPr>
              <w:t>Calculate half-life (T</w:t>
            </w:r>
            <w:r w:rsidRPr="00681130">
              <w:rPr>
                <w:rFonts w:asciiTheme="majorHAnsi" w:hAnsiTheme="majorHAnsi" w:cstheme="majorHAnsi"/>
                <w:sz w:val="20"/>
                <w:szCs w:val="20"/>
                <w:vertAlign w:val="subscript"/>
              </w:rPr>
              <w:t>1/2</w:t>
            </w:r>
            <w:r w:rsidRPr="00681130">
              <w:rPr>
                <w:rFonts w:asciiTheme="majorHAnsi" w:hAnsiTheme="majorHAnsi" w:cstheme="majorHAnsi"/>
                <w:sz w:val="20"/>
                <w:szCs w:val="20"/>
              </w:rPr>
              <w:t>, h)</w:t>
            </w:r>
          </w:p>
        </w:tc>
        <w:tc>
          <w:tcPr>
            <w:tcW w:w="4494" w:type="dxa"/>
          </w:tcPr>
          <w:p w14:paraId="7F09D95C" w14:textId="77777777" w:rsidR="00681130" w:rsidRPr="00681130" w:rsidRDefault="00681130" w:rsidP="00681130">
            <w:pPr>
              <w:jc w:val="center"/>
              <w:rPr>
                <w:rFonts w:asciiTheme="majorHAnsi" w:eastAsia="Calibri" w:hAnsiTheme="majorHAnsi" w:cstheme="majorHAnsi"/>
                <w:sz w:val="20"/>
                <w:szCs w:val="20"/>
              </w:rPr>
            </w:pPr>
            <m:oMathPara>
              <m:oMath>
                <m:r>
                  <w:rPr>
                    <w:rFonts w:ascii="Cambria Math" w:eastAsia="Calibri" w:hAnsi="Cambria Math" w:cstheme="majorHAnsi"/>
                    <w:sz w:val="20"/>
                    <w:szCs w:val="20"/>
                  </w:rPr>
                  <m:t>T1/2=</m:t>
                </m:r>
                <m:f>
                  <m:fPr>
                    <m:ctrlPr>
                      <w:rPr>
                        <w:rFonts w:ascii="Cambria Math" w:eastAsia="Calibri" w:hAnsi="Cambria Math" w:cstheme="majorHAnsi"/>
                        <w:i/>
                        <w:sz w:val="20"/>
                        <w:szCs w:val="20"/>
                      </w:rPr>
                    </m:ctrlPr>
                  </m:fPr>
                  <m:num>
                    <m:r>
                      <w:rPr>
                        <w:rFonts w:ascii="Cambria Math" w:eastAsia="Calibri" w:hAnsi="Cambria Math" w:cstheme="majorHAnsi"/>
                        <w:sz w:val="20"/>
                        <w:szCs w:val="20"/>
                      </w:rPr>
                      <m:t>0.693</m:t>
                    </m:r>
                  </m:num>
                  <m:den>
                    <m:r>
                      <w:rPr>
                        <w:rFonts w:ascii="Cambria Math" w:eastAsia="Calibri" w:hAnsi="Cambria Math" w:cstheme="majorHAnsi"/>
                        <w:sz w:val="20"/>
                        <w:szCs w:val="20"/>
                      </w:rPr>
                      <m:t>Ke</m:t>
                    </m:r>
                  </m:den>
                </m:f>
              </m:oMath>
            </m:oMathPara>
          </w:p>
        </w:tc>
        <w:tc>
          <w:tcPr>
            <w:tcW w:w="2161" w:type="dxa"/>
          </w:tcPr>
          <w:p w14:paraId="37E48CA4" w14:textId="77777777" w:rsidR="00681130" w:rsidRPr="00681130" w:rsidRDefault="00681130" w:rsidP="00681130">
            <w:pPr>
              <w:jc w:val="center"/>
              <w:rPr>
                <w:rFonts w:asciiTheme="majorHAnsi" w:eastAsia="Calibri" w:hAnsiTheme="majorHAnsi" w:cstheme="majorHAnsi"/>
                <w:sz w:val="20"/>
                <w:szCs w:val="20"/>
              </w:rPr>
            </w:pPr>
          </w:p>
        </w:tc>
      </w:tr>
      <w:tr w:rsidR="00681130" w:rsidRPr="00681130" w14:paraId="09073325" w14:textId="77777777" w:rsidTr="00681130">
        <w:tc>
          <w:tcPr>
            <w:tcW w:w="2695" w:type="dxa"/>
          </w:tcPr>
          <w:p w14:paraId="18D0D29D" w14:textId="77777777" w:rsidR="00681130" w:rsidRPr="00681130" w:rsidRDefault="00681130" w:rsidP="00681130">
            <w:pPr>
              <w:pStyle w:val="ListParagraph"/>
              <w:numPr>
                <w:ilvl w:val="0"/>
                <w:numId w:val="16"/>
              </w:numPr>
              <w:rPr>
                <w:rFonts w:asciiTheme="majorHAnsi" w:hAnsiTheme="majorHAnsi" w:cstheme="majorHAnsi"/>
                <w:sz w:val="20"/>
                <w:szCs w:val="20"/>
              </w:rPr>
            </w:pPr>
            <w:r w:rsidRPr="00681130">
              <w:rPr>
                <w:rFonts w:asciiTheme="majorHAnsi" w:hAnsiTheme="majorHAnsi" w:cstheme="majorHAnsi"/>
                <w:sz w:val="20"/>
                <w:szCs w:val="20"/>
              </w:rPr>
              <w:t>Calculate peak (C</w:t>
            </w:r>
            <w:r w:rsidRPr="00681130">
              <w:rPr>
                <w:rFonts w:asciiTheme="majorHAnsi" w:hAnsiTheme="majorHAnsi" w:cstheme="majorHAnsi"/>
                <w:sz w:val="20"/>
                <w:szCs w:val="20"/>
                <w:vertAlign w:val="subscript"/>
              </w:rPr>
              <w:t>max</w:t>
            </w:r>
            <w:r w:rsidRPr="00681130">
              <w:rPr>
                <w:rFonts w:asciiTheme="majorHAnsi" w:hAnsiTheme="majorHAnsi" w:cstheme="majorHAnsi"/>
                <w:sz w:val="20"/>
                <w:szCs w:val="20"/>
              </w:rPr>
              <w:t>, mg/L)</w:t>
            </w:r>
          </w:p>
        </w:tc>
        <w:tc>
          <w:tcPr>
            <w:tcW w:w="4494" w:type="dxa"/>
          </w:tcPr>
          <w:p w14:paraId="1E2C8DF4" w14:textId="77777777" w:rsidR="00681130" w:rsidRPr="00681130" w:rsidRDefault="00681130" w:rsidP="00681130">
            <w:pPr>
              <w:jc w:val="center"/>
              <w:rPr>
                <w:rFonts w:asciiTheme="majorHAnsi" w:eastAsia="Calibri" w:hAnsiTheme="majorHAnsi" w:cstheme="majorHAnsi"/>
                <w:sz w:val="20"/>
                <w:szCs w:val="20"/>
              </w:rPr>
            </w:pPr>
            <m:oMathPara>
              <m:oMath>
                <m:r>
                  <w:rPr>
                    <w:rFonts w:ascii="Cambria Math" w:eastAsia="Calibri" w:hAnsi="Cambria Math" w:cstheme="majorHAnsi"/>
                    <w:sz w:val="20"/>
                    <w:szCs w:val="20"/>
                  </w:rPr>
                  <m:t>Cmax=</m:t>
                </m:r>
                <m:f>
                  <m:fPr>
                    <m:type m:val="lin"/>
                    <m:ctrlPr>
                      <w:rPr>
                        <w:rFonts w:ascii="Cambria Math" w:eastAsia="Calibri" w:hAnsi="Cambria Math" w:cstheme="majorHAnsi"/>
                        <w:i/>
                        <w:sz w:val="20"/>
                        <w:szCs w:val="20"/>
                      </w:rPr>
                    </m:ctrlPr>
                  </m:fPr>
                  <m:num>
                    <m:r>
                      <w:rPr>
                        <w:rFonts w:ascii="Cambria Math" w:eastAsia="Calibri" w:hAnsi="Cambria Math" w:cstheme="majorHAnsi"/>
                        <w:sz w:val="20"/>
                        <w:szCs w:val="20"/>
                      </w:rPr>
                      <m:t>C1</m:t>
                    </m:r>
                  </m:num>
                  <m:den>
                    <m:sSup>
                      <m:sSupPr>
                        <m:ctrlPr>
                          <w:rPr>
                            <w:rFonts w:ascii="Cambria Math" w:eastAsia="Calibri" w:hAnsi="Cambria Math" w:cstheme="majorHAnsi"/>
                            <w:i/>
                            <w:sz w:val="20"/>
                            <w:szCs w:val="20"/>
                          </w:rPr>
                        </m:ctrlPr>
                      </m:sSupPr>
                      <m:e>
                        <m:r>
                          <w:rPr>
                            <w:rFonts w:ascii="Cambria Math" w:eastAsia="Calibri" w:hAnsi="Cambria Math" w:cstheme="majorHAnsi"/>
                            <w:sz w:val="20"/>
                            <w:szCs w:val="20"/>
                          </w:rPr>
                          <m:t>e</m:t>
                        </m:r>
                      </m:e>
                      <m:sup>
                        <m:r>
                          <w:rPr>
                            <w:rFonts w:ascii="Cambria Math" w:eastAsia="Calibri" w:hAnsi="Cambria Math" w:cstheme="majorHAnsi"/>
                            <w:sz w:val="20"/>
                            <w:szCs w:val="20"/>
                          </w:rPr>
                          <m:t>-Ket'</m:t>
                        </m:r>
                      </m:sup>
                    </m:sSup>
                  </m:den>
                </m:f>
              </m:oMath>
            </m:oMathPara>
          </w:p>
          <w:p w14:paraId="2E4E96F8" w14:textId="77777777" w:rsidR="00681130" w:rsidRPr="00681130" w:rsidRDefault="00681130" w:rsidP="00681130">
            <w:pPr>
              <w:jc w:val="center"/>
              <w:rPr>
                <w:rFonts w:asciiTheme="majorHAnsi" w:eastAsia="Calibri" w:hAnsiTheme="majorHAnsi" w:cstheme="majorHAnsi"/>
                <w:sz w:val="20"/>
                <w:szCs w:val="20"/>
              </w:rPr>
            </w:pPr>
            <w:r w:rsidRPr="00681130">
              <w:rPr>
                <w:rFonts w:asciiTheme="majorHAnsi" w:eastAsia="Calibri" w:hAnsiTheme="majorHAnsi" w:cstheme="majorHAnsi"/>
                <w:sz w:val="20"/>
                <w:szCs w:val="20"/>
              </w:rPr>
              <w:t>OR</w:t>
            </w:r>
          </w:p>
          <w:p w14:paraId="18026CF5" w14:textId="77777777" w:rsidR="00681130" w:rsidRPr="00681130" w:rsidRDefault="00681130" w:rsidP="00681130">
            <w:pPr>
              <w:jc w:val="center"/>
              <w:rPr>
                <w:rFonts w:asciiTheme="majorHAnsi" w:eastAsia="Calibri" w:hAnsiTheme="majorHAnsi" w:cstheme="majorHAnsi"/>
                <w:sz w:val="20"/>
                <w:szCs w:val="20"/>
              </w:rPr>
            </w:pPr>
            <m:oMathPara>
              <m:oMath>
                <m:r>
                  <w:rPr>
                    <w:rFonts w:ascii="Cambria Math" w:eastAsia="Calibri" w:hAnsi="Cambria Math" w:cstheme="majorHAnsi"/>
                    <w:sz w:val="20"/>
                    <w:szCs w:val="20"/>
                  </w:rPr>
                  <m:t>Cmax=C1*</m:t>
                </m:r>
                <m:sSup>
                  <m:sSupPr>
                    <m:ctrlPr>
                      <w:rPr>
                        <w:rFonts w:ascii="Cambria Math" w:eastAsia="Calibri" w:hAnsi="Cambria Math" w:cstheme="majorHAnsi"/>
                        <w:i/>
                        <w:sz w:val="20"/>
                        <w:szCs w:val="20"/>
                      </w:rPr>
                    </m:ctrlPr>
                  </m:sSupPr>
                  <m:e>
                    <m:r>
                      <w:rPr>
                        <w:rFonts w:ascii="Cambria Math" w:eastAsia="Calibri" w:hAnsi="Cambria Math" w:cstheme="majorHAnsi"/>
                        <w:sz w:val="20"/>
                        <w:szCs w:val="20"/>
                      </w:rPr>
                      <m:t>e</m:t>
                    </m:r>
                  </m:e>
                  <m:sup>
                    <m:r>
                      <w:rPr>
                        <w:rFonts w:ascii="Cambria Math" w:eastAsia="Calibri" w:hAnsi="Cambria Math" w:cstheme="majorHAnsi"/>
                        <w:sz w:val="20"/>
                        <w:szCs w:val="20"/>
                      </w:rPr>
                      <m:t>Ke*t'</m:t>
                    </m:r>
                  </m:sup>
                </m:sSup>
              </m:oMath>
            </m:oMathPara>
          </w:p>
        </w:tc>
        <w:tc>
          <w:tcPr>
            <w:tcW w:w="2161" w:type="dxa"/>
          </w:tcPr>
          <w:p w14:paraId="301AA3B5" w14:textId="77777777" w:rsidR="00681130" w:rsidRPr="00681130" w:rsidRDefault="00681130" w:rsidP="00681130">
            <w:pPr>
              <w:jc w:val="center"/>
              <w:rPr>
                <w:rFonts w:asciiTheme="majorHAnsi" w:eastAsia="Calibri" w:hAnsiTheme="majorHAnsi" w:cstheme="majorHAnsi"/>
                <w:sz w:val="20"/>
                <w:szCs w:val="20"/>
              </w:rPr>
            </w:pPr>
            <w:r w:rsidRPr="00681130">
              <w:rPr>
                <w:rFonts w:asciiTheme="majorHAnsi" w:eastAsia="Calibri" w:hAnsiTheme="majorHAnsi" w:cstheme="majorHAnsi"/>
                <w:sz w:val="20"/>
                <w:szCs w:val="20"/>
              </w:rPr>
              <w:t>t’=Time between C1 and end of infusion (h)</w:t>
            </w:r>
          </w:p>
        </w:tc>
      </w:tr>
      <w:tr w:rsidR="00681130" w:rsidRPr="00681130" w14:paraId="7E255C0C" w14:textId="77777777" w:rsidTr="00681130">
        <w:tc>
          <w:tcPr>
            <w:tcW w:w="2695" w:type="dxa"/>
          </w:tcPr>
          <w:p w14:paraId="7441C47E" w14:textId="77777777" w:rsidR="00681130" w:rsidRPr="00681130" w:rsidRDefault="00681130" w:rsidP="00681130">
            <w:pPr>
              <w:pStyle w:val="ListParagraph"/>
              <w:numPr>
                <w:ilvl w:val="0"/>
                <w:numId w:val="16"/>
              </w:numPr>
              <w:rPr>
                <w:rFonts w:asciiTheme="majorHAnsi" w:hAnsiTheme="majorHAnsi" w:cstheme="majorHAnsi"/>
                <w:sz w:val="20"/>
                <w:szCs w:val="20"/>
              </w:rPr>
            </w:pPr>
            <w:r w:rsidRPr="00681130">
              <w:rPr>
                <w:rFonts w:asciiTheme="majorHAnsi" w:hAnsiTheme="majorHAnsi" w:cstheme="majorHAnsi"/>
                <w:sz w:val="20"/>
                <w:szCs w:val="20"/>
              </w:rPr>
              <w:t>Calculate trough (C</w:t>
            </w:r>
            <w:r w:rsidRPr="00681130">
              <w:rPr>
                <w:rFonts w:asciiTheme="majorHAnsi" w:hAnsiTheme="majorHAnsi" w:cstheme="majorHAnsi"/>
                <w:sz w:val="20"/>
                <w:szCs w:val="20"/>
                <w:vertAlign w:val="subscript"/>
              </w:rPr>
              <w:t>tr</w:t>
            </w:r>
            <w:r w:rsidRPr="00681130">
              <w:rPr>
                <w:rFonts w:asciiTheme="majorHAnsi" w:hAnsiTheme="majorHAnsi" w:cstheme="majorHAnsi"/>
                <w:sz w:val="20"/>
                <w:szCs w:val="20"/>
              </w:rPr>
              <w:t>, mg/L)</w:t>
            </w:r>
          </w:p>
        </w:tc>
        <w:tc>
          <w:tcPr>
            <w:tcW w:w="4494" w:type="dxa"/>
          </w:tcPr>
          <w:p w14:paraId="1A1BFC81" w14:textId="77777777" w:rsidR="00681130" w:rsidRPr="00681130" w:rsidRDefault="00681130" w:rsidP="00681130">
            <w:pPr>
              <w:jc w:val="center"/>
              <w:rPr>
                <w:rFonts w:asciiTheme="majorHAnsi" w:eastAsiaTheme="minorEastAsia" w:hAnsiTheme="majorHAnsi" w:cstheme="majorHAnsi"/>
                <w:sz w:val="20"/>
                <w:szCs w:val="20"/>
              </w:rPr>
            </w:pPr>
            <m:oMathPara>
              <m:oMath>
                <m:r>
                  <w:rPr>
                    <w:rFonts w:ascii="Cambria Math" w:eastAsia="Calibri" w:hAnsi="Cambria Math" w:cstheme="majorHAnsi"/>
                    <w:sz w:val="20"/>
                    <w:szCs w:val="20"/>
                  </w:rPr>
                  <m:t>Ctr=C2*</m:t>
                </m:r>
                <m:sSup>
                  <m:sSupPr>
                    <m:ctrlPr>
                      <w:rPr>
                        <w:rFonts w:ascii="Cambria Math" w:eastAsia="Calibri" w:hAnsi="Cambria Math" w:cstheme="majorHAnsi"/>
                        <w:i/>
                        <w:sz w:val="20"/>
                        <w:szCs w:val="20"/>
                      </w:rPr>
                    </m:ctrlPr>
                  </m:sSupPr>
                  <m:e>
                    <m:r>
                      <w:rPr>
                        <w:rFonts w:ascii="Cambria Math" w:eastAsia="Calibri" w:hAnsi="Cambria Math" w:cstheme="majorHAnsi"/>
                        <w:sz w:val="20"/>
                        <w:szCs w:val="20"/>
                      </w:rPr>
                      <m:t>e</m:t>
                    </m:r>
                  </m:e>
                  <m:sup>
                    <m:r>
                      <w:rPr>
                        <w:rFonts w:ascii="Cambria Math" w:eastAsia="Calibri" w:hAnsi="Cambria Math" w:cstheme="majorHAnsi"/>
                        <w:sz w:val="20"/>
                        <w:szCs w:val="20"/>
                      </w:rPr>
                      <m:t>-Ke</m:t>
                    </m:r>
                    <m:sSup>
                      <m:sSupPr>
                        <m:ctrlPr>
                          <w:rPr>
                            <w:rFonts w:ascii="Cambria Math" w:eastAsia="Calibri" w:hAnsi="Cambria Math" w:cstheme="majorHAnsi"/>
                            <w:i/>
                            <w:sz w:val="20"/>
                            <w:szCs w:val="20"/>
                          </w:rPr>
                        </m:ctrlPr>
                      </m:sSupPr>
                      <m:e>
                        <m:r>
                          <w:rPr>
                            <w:rFonts w:ascii="Cambria Math" w:eastAsia="Calibri" w:hAnsi="Cambria Math" w:cstheme="majorHAnsi"/>
                            <w:sz w:val="20"/>
                            <w:szCs w:val="20"/>
                          </w:rPr>
                          <m:t>t</m:t>
                        </m:r>
                      </m:e>
                      <m:sup>
                        <m:r>
                          <w:rPr>
                            <w:rFonts w:ascii="Cambria Math" w:eastAsia="Calibri" w:hAnsi="Cambria Math" w:cstheme="majorHAnsi"/>
                            <w:sz w:val="20"/>
                            <w:szCs w:val="20"/>
                          </w:rPr>
                          <m:t>'</m:t>
                        </m:r>
                      </m:sup>
                    </m:sSup>
                  </m:sup>
                </m:sSup>
              </m:oMath>
            </m:oMathPara>
          </w:p>
          <w:p w14:paraId="3EB2958A" w14:textId="77777777" w:rsidR="00681130" w:rsidRPr="00681130" w:rsidRDefault="00681130" w:rsidP="00681130">
            <w:pPr>
              <w:jc w:val="center"/>
              <w:rPr>
                <w:rFonts w:asciiTheme="majorHAnsi" w:eastAsiaTheme="minorEastAsia" w:hAnsiTheme="majorHAnsi" w:cstheme="majorHAnsi"/>
                <w:sz w:val="20"/>
                <w:szCs w:val="20"/>
              </w:rPr>
            </w:pPr>
            <w:r w:rsidRPr="00681130">
              <w:rPr>
                <w:rFonts w:asciiTheme="majorHAnsi" w:eastAsiaTheme="minorEastAsia" w:hAnsiTheme="majorHAnsi" w:cstheme="majorHAnsi"/>
                <w:sz w:val="20"/>
                <w:szCs w:val="20"/>
              </w:rPr>
              <w:t>OR</w:t>
            </w:r>
          </w:p>
          <w:p w14:paraId="641F9D35" w14:textId="77777777" w:rsidR="00681130" w:rsidRPr="00681130" w:rsidRDefault="00681130" w:rsidP="00681130">
            <w:pPr>
              <w:jc w:val="center"/>
              <w:rPr>
                <w:rFonts w:asciiTheme="majorHAnsi" w:eastAsiaTheme="minorEastAsia" w:hAnsiTheme="majorHAnsi" w:cstheme="majorHAnsi"/>
                <w:sz w:val="20"/>
                <w:szCs w:val="20"/>
              </w:rPr>
            </w:pPr>
            <m:oMathPara>
              <m:oMath>
                <m:r>
                  <w:rPr>
                    <w:rFonts w:ascii="Cambria Math" w:eastAsia="Calibri" w:hAnsi="Cambria Math" w:cstheme="majorHAnsi"/>
                    <w:sz w:val="20"/>
                    <w:szCs w:val="20"/>
                  </w:rPr>
                  <m:t>Ctr=Cmax*</m:t>
                </m:r>
                <m:sSup>
                  <m:sSupPr>
                    <m:ctrlPr>
                      <w:rPr>
                        <w:rFonts w:ascii="Cambria Math" w:eastAsia="Calibri" w:hAnsi="Cambria Math" w:cstheme="majorHAnsi"/>
                        <w:i/>
                        <w:sz w:val="20"/>
                        <w:szCs w:val="20"/>
                      </w:rPr>
                    </m:ctrlPr>
                  </m:sSupPr>
                  <m:e>
                    <m:r>
                      <w:rPr>
                        <w:rFonts w:ascii="Cambria Math" w:eastAsia="Calibri" w:hAnsi="Cambria Math" w:cstheme="majorHAnsi"/>
                        <w:sz w:val="20"/>
                        <w:szCs w:val="20"/>
                      </w:rPr>
                      <m:t>e</m:t>
                    </m:r>
                  </m:e>
                  <m:sup>
                    <m:r>
                      <w:rPr>
                        <w:rFonts w:ascii="Cambria Math" w:eastAsia="Calibri" w:hAnsi="Cambria Math" w:cstheme="majorHAnsi"/>
                        <w:sz w:val="20"/>
                        <w:szCs w:val="20"/>
                      </w:rPr>
                      <m:t>-Ke(Tau-tinf)</m:t>
                    </m:r>
                  </m:sup>
                </m:sSup>
              </m:oMath>
            </m:oMathPara>
          </w:p>
        </w:tc>
        <w:tc>
          <w:tcPr>
            <w:tcW w:w="2161" w:type="dxa"/>
          </w:tcPr>
          <w:p w14:paraId="2BDEDE6F" w14:textId="77777777" w:rsidR="00681130" w:rsidRPr="00681130" w:rsidRDefault="00681130" w:rsidP="00681130">
            <w:pPr>
              <w:jc w:val="center"/>
              <w:rPr>
                <w:rFonts w:asciiTheme="majorHAnsi" w:eastAsia="Calibri" w:hAnsiTheme="majorHAnsi" w:cstheme="majorHAnsi"/>
                <w:sz w:val="20"/>
                <w:szCs w:val="20"/>
              </w:rPr>
            </w:pPr>
            <w:r w:rsidRPr="00681130">
              <w:rPr>
                <w:rFonts w:asciiTheme="majorHAnsi" w:eastAsia="Calibri" w:hAnsiTheme="majorHAnsi" w:cstheme="majorHAnsi"/>
                <w:sz w:val="20"/>
                <w:szCs w:val="20"/>
              </w:rPr>
              <w:t>t’=Time between C2 and true C</w:t>
            </w:r>
            <w:r w:rsidRPr="00681130">
              <w:rPr>
                <w:rFonts w:asciiTheme="majorHAnsi" w:eastAsia="Calibri" w:hAnsiTheme="majorHAnsi" w:cstheme="majorHAnsi"/>
                <w:sz w:val="20"/>
                <w:szCs w:val="20"/>
                <w:vertAlign w:val="subscript"/>
              </w:rPr>
              <w:t>tr</w:t>
            </w:r>
            <w:r w:rsidRPr="00681130">
              <w:rPr>
                <w:rFonts w:asciiTheme="majorHAnsi" w:eastAsia="Calibri" w:hAnsiTheme="majorHAnsi" w:cstheme="majorHAnsi"/>
                <w:sz w:val="20"/>
                <w:szCs w:val="20"/>
              </w:rPr>
              <w:t xml:space="preserve"> (h)</w:t>
            </w:r>
          </w:p>
          <w:p w14:paraId="20081C8C" w14:textId="77777777" w:rsidR="00681130" w:rsidRPr="00681130" w:rsidRDefault="00681130" w:rsidP="00681130">
            <w:pPr>
              <w:jc w:val="center"/>
              <w:rPr>
                <w:rFonts w:asciiTheme="majorHAnsi" w:eastAsia="Calibri" w:hAnsiTheme="majorHAnsi" w:cstheme="majorHAnsi"/>
                <w:sz w:val="20"/>
                <w:szCs w:val="20"/>
              </w:rPr>
            </w:pPr>
            <w:r w:rsidRPr="00681130">
              <w:rPr>
                <w:rFonts w:asciiTheme="majorHAnsi" w:eastAsia="Calibri" w:hAnsiTheme="majorHAnsi" w:cstheme="majorHAnsi"/>
                <w:sz w:val="20"/>
                <w:szCs w:val="20"/>
              </w:rPr>
              <w:t>Tau=Dosing interval</w:t>
            </w:r>
          </w:p>
          <w:p w14:paraId="723BE0A0" w14:textId="77777777" w:rsidR="00681130" w:rsidRPr="00681130" w:rsidRDefault="00681130" w:rsidP="00681130">
            <w:pPr>
              <w:rPr>
                <w:rFonts w:asciiTheme="majorHAnsi" w:eastAsia="Calibri" w:hAnsiTheme="majorHAnsi" w:cstheme="majorHAnsi"/>
                <w:sz w:val="20"/>
                <w:szCs w:val="20"/>
              </w:rPr>
            </w:pPr>
            <w:r w:rsidRPr="00681130">
              <w:rPr>
                <w:rFonts w:asciiTheme="majorHAnsi" w:eastAsia="Calibri" w:hAnsiTheme="majorHAnsi" w:cstheme="majorHAnsi"/>
                <w:sz w:val="20"/>
                <w:szCs w:val="20"/>
              </w:rPr>
              <w:t>tinf=Time of infusion</w:t>
            </w:r>
          </w:p>
        </w:tc>
      </w:tr>
      <w:tr w:rsidR="00681130" w:rsidRPr="00681130" w14:paraId="5B79A61C" w14:textId="77777777" w:rsidTr="00681130">
        <w:tc>
          <w:tcPr>
            <w:tcW w:w="2695" w:type="dxa"/>
          </w:tcPr>
          <w:p w14:paraId="7A49375C" w14:textId="77777777" w:rsidR="00681130" w:rsidRPr="00681130" w:rsidRDefault="00681130" w:rsidP="00681130">
            <w:pPr>
              <w:pStyle w:val="ListParagraph"/>
              <w:numPr>
                <w:ilvl w:val="0"/>
                <w:numId w:val="16"/>
              </w:numPr>
              <w:rPr>
                <w:rFonts w:asciiTheme="majorHAnsi" w:hAnsiTheme="majorHAnsi" w:cstheme="majorHAnsi"/>
                <w:sz w:val="20"/>
                <w:szCs w:val="20"/>
              </w:rPr>
            </w:pPr>
            <w:r w:rsidRPr="00681130">
              <w:rPr>
                <w:rFonts w:asciiTheme="majorHAnsi" w:hAnsiTheme="majorHAnsi" w:cstheme="majorHAnsi"/>
                <w:sz w:val="20"/>
                <w:szCs w:val="20"/>
              </w:rPr>
              <w:t>Calculate volume of distribution (Vd, L)</w:t>
            </w:r>
          </w:p>
        </w:tc>
        <w:tc>
          <w:tcPr>
            <w:tcW w:w="4494" w:type="dxa"/>
          </w:tcPr>
          <w:p w14:paraId="65DDC020" w14:textId="77777777" w:rsidR="00681130" w:rsidRPr="00681130" w:rsidRDefault="00681130" w:rsidP="00681130">
            <w:pPr>
              <w:jc w:val="center"/>
              <w:rPr>
                <w:rFonts w:asciiTheme="majorHAnsi" w:eastAsia="Calibri" w:hAnsiTheme="majorHAnsi" w:cstheme="majorHAnsi"/>
                <w:sz w:val="20"/>
                <w:szCs w:val="20"/>
              </w:rPr>
            </w:pPr>
            <m:oMathPara>
              <m:oMath>
                <m:r>
                  <w:rPr>
                    <w:rFonts w:ascii="Cambria Math" w:hAnsi="Cambria Math" w:cstheme="majorHAnsi"/>
                    <w:sz w:val="20"/>
                    <w:szCs w:val="20"/>
                  </w:rPr>
                  <m:t xml:space="preserve">Vd= </m:t>
                </m:r>
                <m:f>
                  <m:fPr>
                    <m:ctrlPr>
                      <w:rPr>
                        <w:rFonts w:ascii="Cambria Math" w:hAnsi="Cambria Math" w:cstheme="majorHAnsi"/>
                        <w:i/>
                        <w:sz w:val="20"/>
                        <w:szCs w:val="20"/>
                      </w:rPr>
                    </m:ctrlPr>
                  </m:fPr>
                  <m:num>
                    <m:f>
                      <m:fPr>
                        <m:ctrlPr>
                          <w:rPr>
                            <w:rFonts w:ascii="Cambria Math" w:hAnsi="Cambria Math" w:cstheme="majorHAnsi"/>
                            <w:i/>
                            <w:sz w:val="20"/>
                            <w:szCs w:val="20"/>
                          </w:rPr>
                        </m:ctrlPr>
                      </m:fPr>
                      <m:num>
                        <m:r>
                          <w:rPr>
                            <w:rFonts w:ascii="Cambria Math" w:hAnsi="Cambria Math" w:cstheme="majorHAnsi"/>
                            <w:sz w:val="20"/>
                            <w:szCs w:val="20"/>
                          </w:rPr>
                          <m:t>MD</m:t>
                        </m:r>
                      </m:num>
                      <m:den>
                        <m:r>
                          <w:rPr>
                            <w:rFonts w:ascii="Cambria Math" w:hAnsi="Cambria Math" w:cstheme="majorHAnsi"/>
                            <w:sz w:val="20"/>
                            <w:szCs w:val="20"/>
                          </w:rPr>
                          <m:t>t</m:t>
                        </m:r>
                      </m:den>
                    </m:f>
                    <m:r>
                      <w:rPr>
                        <w:rFonts w:ascii="Cambria Math" w:hAnsi="Cambria Math" w:cstheme="majorHAnsi"/>
                        <w:sz w:val="20"/>
                        <w:szCs w:val="20"/>
                      </w:rPr>
                      <m:t>(1-</m:t>
                    </m:r>
                    <m:sSup>
                      <m:sSupPr>
                        <m:ctrlPr>
                          <w:rPr>
                            <w:rFonts w:ascii="Cambria Math" w:hAnsi="Cambria Math" w:cstheme="majorHAnsi"/>
                            <w:i/>
                            <w:sz w:val="20"/>
                            <w:szCs w:val="20"/>
                          </w:rPr>
                        </m:ctrlPr>
                      </m:sSupPr>
                      <m:e>
                        <m:r>
                          <w:rPr>
                            <w:rFonts w:ascii="Cambria Math" w:hAnsi="Cambria Math" w:cstheme="majorHAnsi"/>
                            <w:sz w:val="20"/>
                            <w:szCs w:val="20"/>
                          </w:rPr>
                          <m:t>e</m:t>
                        </m:r>
                      </m:e>
                      <m:sup>
                        <m:r>
                          <w:rPr>
                            <w:rFonts w:ascii="Cambria Math" w:hAnsi="Cambria Math" w:cstheme="majorHAnsi"/>
                            <w:sz w:val="20"/>
                            <w:szCs w:val="20"/>
                          </w:rPr>
                          <m:t>-Ke*tinf</m:t>
                        </m:r>
                      </m:sup>
                    </m:sSup>
                    <m:r>
                      <w:rPr>
                        <w:rFonts w:ascii="Cambria Math" w:hAnsi="Cambria Math" w:cstheme="majorHAnsi"/>
                        <w:sz w:val="20"/>
                        <w:szCs w:val="20"/>
                      </w:rPr>
                      <m:t>)</m:t>
                    </m:r>
                  </m:num>
                  <m:den>
                    <m:r>
                      <w:rPr>
                        <w:rFonts w:ascii="Cambria Math" w:hAnsi="Cambria Math" w:cstheme="majorHAnsi"/>
                        <w:sz w:val="20"/>
                        <w:szCs w:val="20"/>
                      </w:rPr>
                      <m:t>Ke*Cmax*</m:t>
                    </m:r>
                    <m:sSup>
                      <m:sSupPr>
                        <m:ctrlPr>
                          <w:rPr>
                            <w:rFonts w:ascii="Cambria Math" w:hAnsi="Cambria Math" w:cstheme="majorHAnsi"/>
                            <w:i/>
                            <w:sz w:val="20"/>
                            <w:szCs w:val="20"/>
                          </w:rPr>
                        </m:ctrlPr>
                      </m:sSupPr>
                      <m:e>
                        <m:r>
                          <w:rPr>
                            <w:rFonts w:ascii="Cambria Math" w:hAnsi="Cambria Math" w:cstheme="majorHAnsi"/>
                            <w:sz w:val="20"/>
                            <w:szCs w:val="20"/>
                          </w:rPr>
                          <m:t>(1-e</m:t>
                        </m:r>
                      </m:e>
                      <m:sup>
                        <m:r>
                          <w:rPr>
                            <w:rFonts w:ascii="Cambria Math" w:hAnsi="Cambria Math" w:cstheme="majorHAnsi"/>
                            <w:sz w:val="20"/>
                            <w:szCs w:val="20"/>
                          </w:rPr>
                          <m:t>-Ke*Tau</m:t>
                        </m:r>
                      </m:sup>
                    </m:sSup>
                    <m:r>
                      <w:rPr>
                        <w:rFonts w:ascii="Cambria Math" w:hAnsi="Cambria Math" w:cstheme="majorHAnsi"/>
                        <w:sz w:val="20"/>
                        <w:szCs w:val="20"/>
                      </w:rPr>
                      <m:t>)</m:t>
                    </m:r>
                  </m:den>
                </m:f>
              </m:oMath>
            </m:oMathPara>
          </w:p>
          <w:p w14:paraId="072087A3" w14:textId="77777777" w:rsidR="00681130" w:rsidRPr="00681130" w:rsidRDefault="00681130" w:rsidP="00681130">
            <w:pPr>
              <w:jc w:val="center"/>
              <w:rPr>
                <w:rFonts w:asciiTheme="majorHAnsi" w:eastAsia="Calibri" w:hAnsiTheme="majorHAnsi" w:cstheme="majorHAnsi"/>
                <w:sz w:val="20"/>
                <w:szCs w:val="20"/>
              </w:rPr>
            </w:pPr>
            <w:r w:rsidRPr="00681130">
              <w:rPr>
                <w:rFonts w:asciiTheme="majorHAnsi" w:eastAsia="Calibri" w:hAnsiTheme="majorHAnsi" w:cstheme="majorHAnsi"/>
                <w:sz w:val="20"/>
                <w:szCs w:val="20"/>
              </w:rPr>
              <w:t>OR</w:t>
            </w:r>
          </w:p>
          <w:p w14:paraId="06001CEF" w14:textId="77777777" w:rsidR="00681130" w:rsidRPr="00681130" w:rsidRDefault="00681130" w:rsidP="00681130">
            <w:pPr>
              <w:jc w:val="center"/>
              <w:rPr>
                <w:rFonts w:asciiTheme="majorHAnsi" w:eastAsia="Calibri" w:hAnsiTheme="majorHAnsi" w:cstheme="majorHAnsi"/>
                <w:sz w:val="20"/>
                <w:szCs w:val="20"/>
              </w:rPr>
            </w:pPr>
            <m:oMathPara>
              <m:oMath>
                <m:r>
                  <w:rPr>
                    <w:rFonts w:ascii="Cambria Math" w:hAnsi="Cambria Math" w:cstheme="majorHAnsi"/>
                    <w:sz w:val="20"/>
                    <w:szCs w:val="20"/>
                  </w:rPr>
                  <m:t xml:space="preserve">Vd= </m:t>
                </m:r>
                <m:f>
                  <m:fPr>
                    <m:ctrlPr>
                      <w:rPr>
                        <w:rFonts w:ascii="Cambria Math" w:hAnsi="Cambria Math" w:cstheme="majorHAnsi"/>
                        <w:i/>
                        <w:sz w:val="20"/>
                        <w:szCs w:val="20"/>
                      </w:rPr>
                    </m:ctrlPr>
                  </m:fPr>
                  <m:num>
                    <m:f>
                      <m:fPr>
                        <m:ctrlPr>
                          <w:rPr>
                            <w:rFonts w:ascii="Cambria Math" w:hAnsi="Cambria Math" w:cstheme="majorHAnsi"/>
                            <w:i/>
                            <w:sz w:val="20"/>
                            <w:szCs w:val="20"/>
                          </w:rPr>
                        </m:ctrlPr>
                      </m:fPr>
                      <m:num>
                        <m:r>
                          <w:rPr>
                            <w:rFonts w:ascii="Cambria Math" w:hAnsi="Cambria Math" w:cstheme="majorHAnsi"/>
                            <w:sz w:val="20"/>
                            <w:szCs w:val="20"/>
                          </w:rPr>
                          <m:t>MD</m:t>
                        </m:r>
                      </m:num>
                      <m:den>
                        <m:r>
                          <w:rPr>
                            <w:rFonts w:ascii="Cambria Math" w:hAnsi="Cambria Math" w:cstheme="majorHAnsi"/>
                            <w:sz w:val="20"/>
                            <w:szCs w:val="20"/>
                          </w:rPr>
                          <m:t>t</m:t>
                        </m:r>
                      </m:den>
                    </m:f>
                    <m:r>
                      <w:rPr>
                        <w:rFonts w:ascii="Cambria Math" w:hAnsi="Cambria Math" w:cstheme="majorHAnsi"/>
                        <w:sz w:val="20"/>
                        <w:szCs w:val="20"/>
                      </w:rPr>
                      <m:t>(1-</m:t>
                    </m:r>
                    <m:sSup>
                      <m:sSupPr>
                        <m:ctrlPr>
                          <w:rPr>
                            <w:rFonts w:ascii="Cambria Math" w:hAnsi="Cambria Math" w:cstheme="majorHAnsi"/>
                            <w:i/>
                            <w:sz w:val="20"/>
                            <w:szCs w:val="20"/>
                          </w:rPr>
                        </m:ctrlPr>
                      </m:sSupPr>
                      <m:e>
                        <m:r>
                          <w:rPr>
                            <w:rFonts w:ascii="Cambria Math" w:hAnsi="Cambria Math" w:cstheme="majorHAnsi"/>
                            <w:sz w:val="20"/>
                            <w:szCs w:val="20"/>
                          </w:rPr>
                          <m:t>e</m:t>
                        </m:r>
                      </m:e>
                      <m:sup>
                        <m:r>
                          <w:rPr>
                            <w:rFonts w:ascii="Cambria Math" w:hAnsi="Cambria Math" w:cstheme="majorHAnsi"/>
                            <w:sz w:val="20"/>
                            <w:szCs w:val="20"/>
                          </w:rPr>
                          <m:t>-Ke*tinf</m:t>
                        </m:r>
                      </m:sup>
                    </m:sSup>
                    <m:r>
                      <w:rPr>
                        <w:rFonts w:ascii="Cambria Math" w:hAnsi="Cambria Math" w:cstheme="majorHAnsi"/>
                        <w:sz w:val="20"/>
                        <w:szCs w:val="20"/>
                      </w:rPr>
                      <m:t>)</m:t>
                    </m:r>
                  </m:num>
                  <m:den>
                    <m:r>
                      <w:rPr>
                        <w:rFonts w:ascii="Cambria Math" w:hAnsi="Cambria Math" w:cstheme="majorHAnsi"/>
                        <w:sz w:val="20"/>
                        <w:szCs w:val="20"/>
                      </w:rPr>
                      <m:t>Ke*(Cmax-[Ctr*</m:t>
                    </m:r>
                    <m:sSup>
                      <m:sSupPr>
                        <m:ctrlPr>
                          <w:rPr>
                            <w:rFonts w:ascii="Cambria Math" w:hAnsi="Cambria Math" w:cstheme="majorHAnsi"/>
                            <w:i/>
                            <w:sz w:val="20"/>
                            <w:szCs w:val="20"/>
                          </w:rPr>
                        </m:ctrlPr>
                      </m:sSupPr>
                      <m:e>
                        <m:r>
                          <w:rPr>
                            <w:rFonts w:ascii="Cambria Math" w:hAnsi="Cambria Math" w:cstheme="majorHAnsi"/>
                            <w:sz w:val="20"/>
                            <w:szCs w:val="20"/>
                          </w:rPr>
                          <m:t>e</m:t>
                        </m:r>
                      </m:e>
                      <m:sup>
                        <m:r>
                          <w:rPr>
                            <w:rFonts w:ascii="Cambria Math" w:hAnsi="Cambria Math" w:cstheme="majorHAnsi"/>
                            <w:sz w:val="20"/>
                            <w:szCs w:val="20"/>
                          </w:rPr>
                          <m:t>-Ke*tinf</m:t>
                        </m:r>
                      </m:sup>
                    </m:sSup>
                    <m:r>
                      <w:rPr>
                        <w:rFonts w:ascii="Cambria Math" w:hAnsi="Cambria Math" w:cstheme="majorHAnsi"/>
                        <w:sz w:val="20"/>
                        <w:szCs w:val="20"/>
                      </w:rPr>
                      <m:t>])</m:t>
                    </m:r>
                  </m:den>
                </m:f>
              </m:oMath>
            </m:oMathPara>
          </w:p>
        </w:tc>
        <w:tc>
          <w:tcPr>
            <w:tcW w:w="2161" w:type="dxa"/>
          </w:tcPr>
          <w:p w14:paraId="4D62B073" w14:textId="77777777" w:rsidR="00681130" w:rsidRPr="00681130" w:rsidRDefault="00681130" w:rsidP="00681130">
            <w:pPr>
              <w:jc w:val="center"/>
              <w:rPr>
                <w:rFonts w:asciiTheme="majorHAnsi" w:eastAsia="Calibri" w:hAnsiTheme="majorHAnsi" w:cstheme="majorHAnsi"/>
                <w:sz w:val="20"/>
                <w:szCs w:val="20"/>
              </w:rPr>
            </w:pPr>
            <w:r w:rsidRPr="00681130">
              <w:rPr>
                <w:rFonts w:asciiTheme="majorHAnsi" w:eastAsia="Calibri" w:hAnsiTheme="majorHAnsi" w:cstheme="majorHAnsi"/>
                <w:sz w:val="20"/>
                <w:szCs w:val="20"/>
              </w:rPr>
              <w:t>MD = Maintenance dose</w:t>
            </w:r>
          </w:p>
          <w:p w14:paraId="5E180B62" w14:textId="77777777" w:rsidR="00681130" w:rsidRPr="00681130" w:rsidRDefault="00681130" w:rsidP="00681130">
            <w:pPr>
              <w:jc w:val="center"/>
              <w:rPr>
                <w:rFonts w:asciiTheme="majorHAnsi" w:eastAsia="Calibri" w:hAnsiTheme="majorHAnsi" w:cstheme="majorHAnsi"/>
                <w:sz w:val="20"/>
                <w:szCs w:val="20"/>
              </w:rPr>
            </w:pPr>
            <w:r w:rsidRPr="00681130">
              <w:rPr>
                <w:rFonts w:asciiTheme="majorHAnsi" w:eastAsia="Calibri" w:hAnsiTheme="majorHAnsi" w:cstheme="majorHAnsi"/>
                <w:sz w:val="20"/>
                <w:szCs w:val="20"/>
              </w:rPr>
              <w:t>tinf=Time of infusion</w:t>
            </w:r>
          </w:p>
        </w:tc>
      </w:tr>
      <w:tr w:rsidR="00681130" w:rsidRPr="00681130" w14:paraId="53DF5013" w14:textId="77777777" w:rsidTr="00681130">
        <w:tc>
          <w:tcPr>
            <w:tcW w:w="2695" w:type="dxa"/>
          </w:tcPr>
          <w:p w14:paraId="64E67582" w14:textId="77777777" w:rsidR="00681130" w:rsidRPr="00681130" w:rsidRDefault="00681130" w:rsidP="00681130">
            <w:pPr>
              <w:pStyle w:val="ListParagraph"/>
              <w:numPr>
                <w:ilvl w:val="0"/>
                <w:numId w:val="16"/>
              </w:numPr>
              <w:rPr>
                <w:rFonts w:asciiTheme="majorHAnsi" w:hAnsiTheme="majorHAnsi" w:cstheme="majorHAnsi"/>
                <w:sz w:val="20"/>
                <w:szCs w:val="20"/>
              </w:rPr>
            </w:pPr>
            <w:r w:rsidRPr="00681130">
              <w:rPr>
                <w:rFonts w:asciiTheme="majorHAnsi" w:hAnsiTheme="majorHAnsi" w:cstheme="majorHAnsi"/>
                <w:sz w:val="20"/>
                <w:szCs w:val="20"/>
              </w:rPr>
              <w:t>Calculate clearance (CL, L/h)</w:t>
            </w:r>
          </w:p>
        </w:tc>
        <w:tc>
          <w:tcPr>
            <w:tcW w:w="4494" w:type="dxa"/>
          </w:tcPr>
          <w:p w14:paraId="7836E74C" w14:textId="77777777" w:rsidR="00681130" w:rsidRPr="00681130" w:rsidRDefault="00681130" w:rsidP="00681130">
            <w:pPr>
              <w:jc w:val="center"/>
              <w:rPr>
                <w:rFonts w:asciiTheme="majorHAnsi" w:eastAsia="Calibri" w:hAnsiTheme="majorHAnsi" w:cstheme="majorHAnsi"/>
                <w:sz w:val="20"/>
                <w:szCs w:val="20"/>
              </w:rPr>
            </w:pPr>
            <m:oMathPara>
              <m:oMath>
                <m:r>
                  <w:rPr>
                    <w:rFonts w:ascii="Cambria Math" w:eastAsia="Times New Roman" w:hAnsi="Cambria Math" w:cstheme="majorHAnsi"/>
                    <w:sz w:val="20"/>
                    <w:szCs w:val="20"/>
                  </w:rPr>
                  <m:t>CL=Vd*Ke</m:t>
                </m:r>
              </m:oMath>
            </m:oMathPara>
          </w:p>
        </w:tc>
        <w:tc>
          <w:tcPr>
            <w:tcW w:w="2161" w:type="dxa"/>
          </w:tcPr>
          <w:p w14:paraId="6D543E1A" w14:textId="77777777" w:rsidR="00681130" w:rsidRPr="00681130" w:rsidRDefault="00681130" w:rsidP="00681130">
            <w:pPr>
              <w:jc w:val="center"/>
              <w:rPr>
                <w:rFonts w:asciiTheme="majorHAnsi" w:eastAsia="Calibri" w:hAnsiTheme="majorHAnsi" w:cstheme="majorHAnsi"/>
                <w:sz w:val="20"/>
                <w:szCs w:val="20"/>
              </w:rPr>
            </w:pPr>
          </w:p>
        </w:tc>
      </w:tr>
      <w:tr w:rsidR="00681130" w:rsidRPr="00681130" w14:paraId="73EB7585" w14:textId="77777777" w:rsidTr="00681130">
        <w:tc>
          <w:tcPr>
            <w:tcW w:w="2695" w:type="dxa"/>
          </w:tcPr>
          <w:p w14:paraId="390FC0A5" w14:textId="77777777" w:rsidR="00681130" w:rsidRPr="00681130" w:rsidRDefault="00681130" w:rsidP="00681130">
            <w:pPr>
              <w:pStyle w:val="ListParagraph"/>
              <w:numPr>
                <w:ilvl w:val="0"/>
                <w:numId w:val="16"/>
              </w:numPr>
              <w:rPr>
                <w:rFonts w:asciiTheme="majorHAnsi" w:hAnsiTheme="majorHAnsi" w:cstheme="majorHAnsi"/>
                <w:sz w:val="20"/>
                <w:szCs w:val="20"/>
              </w:rPr>
            </w:pPr>
            <w:r w:rsidRPr="00681130">
              <w:rPr>
                <w:rFonts w:asciiTheme="majorHAnsi" w:hAnsiTheme="majorHAnsi" w:cstheme="majorHAnsi"/>
                <w:sz w:val="20"/>
                <w:szCs w:val="20"/>
              </w:rPr>
              <w:t>Calculate AUC</w:t>
            </w:r>
            <w:r w:rsidRPr="00681130">
              <w:rPr>
                <w:rFonts w:asciiTheme="majorHAnsi" w:hAnsiTheme="majorHAnsi" w:cstheme="majorHAnsi"/>
                <w:sz w:val="20"/>
                <w:szCs w:val="20"/>
                <w:vertAlign w:val="subscript"/>
              </w:rPr>
              <w:t>24</w:t>
            </w:r>
            <w:r w:rsidRPr="00681130">
              <w:rPr>
                <w:rFonts w:asciiTheme="majorHAnsi" w:hAnsiTheme="majorHAnsi" w:cstheme="majorHAnsi"/>
                <w:sz w:val="20"/>
                <w:szCs w:val="20"/>
              </w:rPr>
              <w:t xml:space="preserve"> (mg*h/L)</w:t>
            </w:r>
          </w:p>
        </w:tc>
        <w:tc>
          <w:tcPr>
            <w:tcW w:w="4494" w:type="dxa"/>
          </w:tcPr>
          <w:p w14:paraId="2C5E4851" w14:textId="77777777" w:rsidR="00681130" w:rsidRPr="00681130" w:rsidRDefault="00681130" w:rsidP="00681130">
            <w:pPr>
              <w:jc w:val="center"/>
              <w:rPr>
                <w:rFonts w:asciiTheme="majorHAnsi" w:eastAsia="Calibri" w:hAnsiTheme="majorHAnsi" w:cstheme="majorHAnsi"/>
                <w:sz w:val="20"/>
                <w:szCs w:val="20"/>
              </w:rPr>
            </w:pPr>
            <m:oMathPara>
              <m:oMath>
                <m:r>
                  <w:rPr>
                    <w:rFonts w:ascii="Cambria Math" w:eastAsia="Calibri" w:hAnsi="Cambria Math" w:cstheme="majorHAnsi"/>
                    <w:sz w:val="20"/>
                    <w:szCs w:val="20"/>
                  </w:rPr>
                  <m:t xml:space="preserve">AUCinf= </m:t>
                </m:r>
                <m:f>
                  <m:fPr>
                    <m:ctrlPr>
                      <w:rPr>
                        <w:rFonts w:ascii="Cambria Math" w:eastAsia="Calibri" w:hAnsi="Cambria Math" w:cstheme="majorHAnsi"/>
                        <w:i/>
                        <w:sz w:val="20"/>
                        <w:szCs w:val="20"/>
                      </w:rPr>
                    </m:ctrlPr>
                  </m:fPr>
                  <m:num>
                    <m:r>
                      <w:rPr>
                        <w:rFonts w:ascii="Cambria Math" w:eastAsia="Calibri" w:hAnsi="Cambria Math" w:cstheme="majorHAnsi"/>
                        <w:sz w:val="20"/>
                        <w:szCs w:val="20"/>
                      </w:rPr>
                      <m:t>(Cmax+Cmin)</m:t>
                    </m:r>
                  </m:num>
                  <m:den>
                    <m:r>
                      <w:rPr>
                        <w:rFonts w:ascii="Cambria Math" w:eastAsia="Calibri" w:hAnsi="Cambria Math" w:cstheme="majorHAnsi"/>
                        <w:sz w:val="20"/>
                        <w:szCs w:val="20"/>
                      </w:rPr>
                      <m:t>2</m:t>
                    </m:r>
                  </m:den>
                </m:f>
                <m:r>
                  <w:rPr>
                    <w:rFonts w:ascii="Cambria Math" w:eastAsia="Calibri" w:hAnsi="Cambria Math" w:cstheme="majorHAnsi"/>
                    <w:sz w:val="20"/>
                    <w:szCs w:val="20"/>
                  </w:rPr>
                  <m:t>*tinf</m:t>
                </m:r>
              </m:oMath>
            </m:oMathPara>
          </w:p>
          <w:p w14:paraId="3809251E" w14:textId="77777777" w:rsidR="00681130" w:rsidRPr="00681130" w:rsidRDefault="00681130" w:rsidP="00681130">
            <w:pPr>
              <w:jc w:val="center"/>
              <w:rPr>
                <w:rFonts w:asciiTheme="majorHAnsi" w:eastAsia="Calibri" w:hAnsiTheme="majorHAnsi" w:cstheme="majorHAnsi"/>
                <w:sz w:val="20"/>
                <w:szCs w:val="20"/>
              </w:rPr>
            </w:pPr>
            <m:oMathPara>
              <m:oMath>
                <m:r>
                  <w:rPr>
                    <w:rFonts w:ascii="Cambria Math" w:eastAsia="Calibri" w:hAnsi="Cambria Math" w:cstheme="majorHAnsi"/>
                    <w:sz w:val="20"/>
                    <w:szCs w:val="20"/>
                  </w:rPr>
                  <m:t xml:space="preserve">AUCelim= </m:t>
                </m:r>
                <m:f>
                  <m:fPr>
                    <m:ctrlPr>
                      <w:rPr>
                        <w:rFonts w:ascii="Cambria Math" w:eastAsia="Calibri" w:hAnsi="Cambria Math" w:cstheme="majorHAnsi"/>
                        <w:i/>
                        <w:sz w:val="20"/>
                        <w:szCs w:val="20"/>
                      </w:rPr>
                    </m:ctrlPr>
                  </m:fPr>
                  <m:num>
                    <m:r>
                      <w:rPr>
                        <w:rFonts w:ascii="Cambria Math" w:eastAsia="Calibri" w:hAnsi="Cambria Math" w:cstheme="majorHAnsi"/>
                        <w:sz w:val="20"/>
                        <w:szCs w:val="20"/>
                      </w:rPr>
                      <m:t>(Cmax-Cmin)</m:t>
                    </m:r>
                  </m:num>
                  <m:den>
                    <m:r>
                      <w:rPr>
                        <w:rFonts w:ascii="Cambria Math" w:eastAsia="Calibri" w:hAnsi="Cambria Math" w:cstheme="majorHAnsi"/>
                        <w:sz w:val="20"/>
                        <w:szCs w:val="20"/>
                      </w:rPr>
                      <m:t>Ke</m:t>
                    </m:r>
                  </m:den>
                </m:f>
              </m:oMath>
            </m:oMathPara>
          </w:p>
          <w:p w14:paraId="51E1B3A2" w14:textId="77777777" w:rsidR="00681130" w:rsidRPr="00681130" w:rsidRDefault="00681130" w:rsidP="00681130">
            <w:pPr>
              <w:jc w:val="center"/>
              <w:rPr>
                <w:rFonts w:asciiTheme="majorHAnsi" w:eastAsia="Calibri" w:hAnsiTheme="majorHAnsi" w:cstheme="majorHAnsi"/>
                <w:sz w:val="20"/>
                <w:szCs w:val="20"/>
              </w:rPr>
            </w:pPr>
            <m:oMathPara>
              <m:oMath>
                <m:r>
                  <w:rPr>
                    <w:rFonts w:ascii="Cambria Math" w:eastAsia="Calibri" w:hAnsi="Cambria Math" w:cstheme="majorHAnsi"/>
                    <w:sz w:val="20"/>
                    <w:szCs w:val="20"/>
                  </w:rPr>
                  <m:t>AUC24=</m:t>
                </m:r>
                <m:d>
                  <m:dPr>
                    <m:ctrlPr>
                      <w:rPr>
                        <w:rFonts w:ascii="Cambria Math" w:eastAsia="Calibri" w:hAnsi="Cambria Math" w:cstheme="majorHAnsi"/>
                        <w:i/>
                        <w:sz w:val="20"/>
                        <w:szCs w:val="20"/>
                      </w:rPr>
                    </m:ctrlPr>
                  </m:dPr>
                  <m:e>
                    <m:r>
                      <w:rPr>
                        <w:rFonts w:ascii="Cambria Math" w:eastAsia="Calibri" w:hAnsi="Cambria Math" w:cstheme="majorHAnsi"/>
                        <w:sz w:val="20"/>
                        <w:szCs w:val="20"/>
                      </w:rPr>
                      <m:t>AUCinf+AUCelim</m:t>
                    </m:r>
                  </m:e>
                </m:d>
                <m:r>
                  <w:rPr>
                    <w:rFonts w:ascii="Cambria Math" w:eastAsia="Calibri" w:hAnsi="Cambria Math" w:cstheme="majorHAnsi"/>
                    <w:sz w:val="20"/>
                    <w:szCs w:val="20"/>
                  </w:rPr>
                  <m:t>*(</m:t>
                </m:r>
                <m:f>
                  <m:fPr>
                    <m:ctrlPr>
                      <w:rPr>
                        <w:rFonts w:ascii="Cambria Math" w:eastAsia="Calibri" w:hAnsi="Cambria Math" w:cstheme="majorHAnsi"/>
                        <w:i/>
                        <w:sz w:val="20"/>
                        <w:szCs w:val="20"/>
                      </w:rPr>
                    </m:ctrlPr>
                  </m:fPr>
                  <m:num>
                    <m:r>
                      <w:rPr>
                        <w:rFonts w:ascii="Cambria Math" w:eastAsia="Calibri" w:hAnsi="Cambria Math" w:cstheme="majorHAnsi"/>
                        <w:sz w:val="20"/>
                        <w:szCs w:val="20"/>
                      </w:rPr>
                      <m:t>24</m:t>
                    </m:r>
                  </m:num>
                  <m:den>
                    <m:r>
                      <w:rPr>
                        <w:rFonts w:ascii="Cambria Math" w:eastAsia="Calibri" w:hAnsi="Cambria Math" w:cstheme="majorHAnsi"/>
                        <w:sz w:val="20"/>
                        <w:szCs w:val="20"/>
                      </w:rPr>
                      <m:t>Tau</m:t>
                    </m:r>
                  </m:den>
                </m:f>
                <m:r>
                  <w:rPr>
                    <w:rFonts w:ascii="Cambria Math" w:eastAsia="Calibri" w:hAnsi="Cambria Math" w:cstheme="majorHAnsi"/>
                    <w:sz w:val="20"/>
                    <w:szCs w:val="20"/>
                  </w:rPr>
                  <m:t>)</m:t>
                </m:r>
              </m:oMath>
            </m:oMathPara>
          </w:p>
        </w:tc>
        <w:tc>
          <w:tcPr>
            <w:tcW w:w="2161" w:type="dxa"/>
          </w:tcPr>
          <w:p w14:paraId="5AB52F7B" w14:textId="77777777" w:rsidR="00681130" w:rsidRPr="00681130" w:rsidRDefault="00681130" w:rsidP="00681130">
            <w:pPr>
              <w:jc w:val="center"/>
              <w:rPr>
                <w:rFonts w:asciiTheme="majorHAnsi" w:eastAsia="Calibri" w:hAnsiTheme="majorHAnsi" w:cstheme="majorHAnsi"/>
                <w:sz w:val="20"/>
                <w:szCs w:val="20"/>
              </w:rPr>
            </w:pPr>
          </w:p>
        </w:tc>
      </w:tr>
      <w:tr w:rsidR="00681130" w:rsidRPr="00681130" w14:paraId="23574808" w14:textId="77777777" w:rsidTr="00681130">
        <w:tc>
          <w:tcPr>
            <w:tcW w:w="2695" w:type="dxa"/>
          </w:tcPr>
          <w:p w14:paraId="2B08687A" w14:textId="77777777" w:rsidR="00681130" w:rsidRPr="00681130" w:rsidRDefault="00681130" w:rsidP="00681130">
            <w:pPr>
              <w:pStyle w:val="ListParagraph"/>
              <w:numPr>
                <w:ilvl w:val="0"/>
                <w:numId w:val="16"/>
              </w:numPr>
              <w:rPr>
                <w:rFonts w:asciiTheme="majorHAnsi" w:hAnsiTheme="majorHAnsi" w:cstheme="majorHAnsi"/>
                <w:sz w:val="20"/>
                <w:szCs w:val="20"/>
              </w:rPr>
            </w:pPr>
            <w:r w:rsidRPr="00681130">
              <w:rPr>
                <w:rFonts w:asciiTheme="majorHAnsi" w:hAnsiTheme="majorHAnsi" w:cstheme="majorHAnsi"/>
                <w:sz w:val="20"/>
                <w:szCs w:val="20"/>
              </w:rPr>
              <w:t>Calculate new Dose</w:t>
            </w:r>
            <w:r w:rsidRPr="00681130">
              <w:rPr>
                <w:rFonts w:asciiTheme="majorHAnsi" w:hAnsiTheme="majorHAnsi" w:cstheme="majorHAnsi"/>
                <w:sz w:val="20"/>
                <w:szCs w:val="20"/>
                <w:vertAlign w:val="subscript"/>
              </w:rPr>
              <w:t>24</w:t>
            </w:r>
            <w:r w:rsidRPr="00681130">
              <w:rPr>
                <w:rFonts w:asciiTheme="majorHAnsi" w:hAnsiTheme="majorHAnsi" w:cstheme="majorHAnsi"/>
                <w:sz w:val="20"/>
                <w:szCs w:val="20"/>
              </w:rPr>
              <w:t xml:space="preserve"> to achieve target AUC</w:t>
            </w:r>
            <w:r w:rsidRPr="00681130">
              <w:rPr>
                <w:rFonts w:asciiTheme="majorHAnsi" w:hAnsiTheme="majorHAnsi" w:cstheme="majorHAnsi"/>
                <w:sz w:val="20"/>
                <w:szCs w:val="20"/>
                <w:vertAlign w:val="subscript"/>
              </w:rPr>
              <w:t>24</w:t>
            </w:r>
            <w:r w:rsidRPr="00681130">
              <w:rPr>
                <w:rFonts w:asciiTheme="majorHAnsi" w:hAnsiTheme="majorHAnsi" w:cstheme="majorHAnsi"/>
                <w:sz w:val="20"/>
                <w:szCs w:val="20"/>
                <w:vertAlign w:val="superscript"/>
              </w:rPr>
              <w:t xml:space="preserve"> </w:t>
            </w:r>
            <w:r w:rsidRPr="00681130">
              <w:rPr>
                <w:rFonts w:asciiTheme="majorHAnsi" w:hAnsiTheme="majorHAnsi" w:cstheme="majorHAnsi"/>
                <w:sz w:val="20"/>
                <w:szCs w:val="20"/>
              </w:rPr>
              <w:t>(mg)</w:t>
            </w:r>
          </w:p>
        </w:tc>
        <w:tc>
          <w:tcPr>
            <w:tcW w:w="4494" w:type="dxa"/>
          </w:tcPr>
          <w:p w14:paraId="7C9CDF37" w14:textId="77777777" w:rsidR="00681130" w:rsidRPr="00681130" w:rsidRDefault="00681130" w:rsidP="00681130">
            <w:pPr>
              <w:jc w:val="center"/>
              <w:rPr>
                <w:rFonts w:asciiTheme="majorHAnsi" w:eastAsia="Calibri" w:hAnsiTheme="majorHAnsi" w:cstheme="majorHAnsi"/>
                <w:sz w:val="20"/>
                <w:szCs w:val="20"/>
              </w:rPr>
            </w:pPr>
            <m:oMathPara>
              <m:oMath>
                <m:r>
                  <w:rPr>
                    <w:rFonts w:ascii="Cambria Math" w:eastAsia="Times New Roman" w:hAnsi="Cambria Math" w:cstheme="majorHAnsi"/>
                    <w:sz w:val="20"/>
                    <w:szCs w:val="20"/>
                  </w:rPr>
                  <m:t>Dose24=CL*AUC24</m:t>
                </m:r>
              </m:oMath>
            </m:oMathPara>
          </w:p>
        </w:tc>
        <w:tc>
          <w:tcPr>
            <w:tcW w:w="2161" w:type="dxa"/>
          </w:tcPr>
          <w:p w14:paraId="292C4B73" w14:textId="77777777" w:rsidR="00681130" w:rsidRPr="00681130" w:rsidRDefault="00681130" w:rsidP="00681130">
            <w:pPr>
              <w:jc w:val="center"/>
              <w:rPr>
                <w:rFonts w:asciiTheme="majorHAnsi" w:eastAsia="Calibri" w:hAnsiTheme="majorHAnsi" w:cstheme="majorHAnsi"/>
                <w:sz w:val="20"/>
                <w:szCs w:val="20"/>
              </w:rPr>
            </w:pPr>
          </w:p>
        </w:tc>
      </w:tr>
      <w:tr w:rsidR="00681130" w:rsidRPr="00681130" w14:paraId="55A16AFF" w14:textId="77777777" w:rsidTr="00681130">
        <w:tc>
          <w:tcPr>
            <w:tcW w:w="2695" w:type="dxa"/>
          </w:tcPr>
          <w:p w14:paraId="667318CC" w14:textId="77777777" w:rsidR="00681130" w:rsidRPr="00681130" w:rsidRDefault="00681130" w:rsidP="00681130">
            <w:pPr>
              <w:pStyle w:val="ListParagraph"/>
              <w:numPr>
                <w:ilvl w:val="0"/>
                <w:numId w:val="16"/>
              </w:numPr>
              <w:rPr>
                <w:rFonts w:asciiTheme="majorHAnsi" w:hAnsiTheme="majorHAnsi" w:cstheme="majorHAnsi"/>
                <w:sz w:val="20"/>
                <w:szCs w:val="20"/>
              </w:rPr>
            </w:pPr>
            <w:r w:rsidRPr="00681130">
              <w:rPr>
                <w:rFonts w:asciiTheme="majorHAnsi" w:hAnsiTheme="majorHAnsi" w:cstheme="majorHAnsi"/>
                <w:sz w:val="20"/>
                <w:szCs w:val="20"/>
              </w:rPr>
              <w:t>Calculate the new Tau (h)</w:t>
            </w:r>
          </w:p>
        </w:tc>
        <w:tc>
          <w:tcPr>
            <w:tcW w:w="4494" w:type="dxa"/>
          </w:tcPr>
          <w:p w14:paraId="688B254C" w14:textId="77777777" w:rsidR="00681130" w:rsidRPr="00681130" w:rsidRDefault="00681130" w:rsidP="00681130">
            <w:pPr>
              <w:jc w:val="center"/>
              <w:rPr>
                <w:rFonts w:asciiTheme="majorHAnsi" w:eastAsia="Calibri" w:hAnsiTheme="majorHAnsi" w:cstheme="majorHAnsi"/>
                <w:sz w:val="20"/>
                <w:szCs w:val="20"/>
              </w:rPr>
            </w:pPr>
            <m:oMathPara>
              <m:oMath>
                <m:r>
                  <w:rPr>
                    <w:rFonts w:ascii="Cambria Math" w:hAnsi="Cambria Math" w:cstheme="majorHAnsi"/>
                    <w:sz w:val="20"/>
                    <w:szCs w:val="20"/>
                  </w:rPr>
                  <m:t xml:space="preserve">Tau= </m:t>
                </m:r>
                <m:f>
                  <m:fPr>
                    <m:ctrlPr>
                      <w:rPr>
                        <w:rFonts w:ascii="Cambria Math" w:hAnsi="Cambria Math" w:cstheme="majorHAnsi"/>
                        <w:i/>
                        <w:sz w:val="20"/>
                        <w:szCs w:val="20"/>
                      </w:rPr>
                    </m:ctrlPr>
                  </m:fPr>
                  <m:num>
                    <m:f>
                      <m:fPr>
                        <m:type m:val="lin"/>
                        <m:ctrlPr>
                          <w:rPr>
                            <w:rFonts w:ascii="Cambria Math" w:hAnsi="Cambria Math" w:cstheme="majorHAnsi"/>
                            <w:i/>
                            <w:sz w:val="20"/>
                            <w:szCs w:val="20"/>
                          </w:rPr>
                        </m:ctrlPr>
                      </m:fPr>
                      <m:num>
                        <m:r>
                          <w:rPr>
                            <w:rFonts w:ascii="Cambria Math" w:eastAsia="Calibri" w:hAnsi="Cambria Math" w:cstheme="majorHAnsi"/>
                            <w:sz w:val="20"/>
                            <w:szCs w:val="20"/>
                          </w:rPr>
                          <m:t>ln</m:t>
                        </m:r>
                        <m:r>
                          <w:rPr>
                            <w:rFonts w:ascii="Cambria Math" w:hAnsi="Cambria Math" w:cstheme="majorHAnsi"/>
                            <w:sz w:val="20"/>
                            <w:szCs w:val="20"/>
                          </w:rPr>
                          <m:t>(Cmax,desired</m:t>
                        </m:r>
                      </m:num>
                      <m:den>
                        <m:r>
                          <w:rPr>
                            <w:rFonts w:ascii="Cambria Math" w:hAnsi="Cambria Math" w:cstheme="majorHAnsi"/>
                            <w:sz w:val="20"/>
                            <w:szCs w:val="20"/>
                          </w:rPr>
                          <m:t>Ctr,desired)</m:t>
                        </m:r>
                      </m:den>
                    </m:f>
                  </m:num>
                  <m:den>
                    <m:r>
                      <w:rPr>
                        <w:rFonts w:ascii="Cambria Math" w:hAnsi="Cambria Math" w:cstheme="majorHAnsi"/>
                        <w:sz w:val="20"/>
                        <w:szCs w:val="20"/>
                      </w:rPr>
                      <m:t>Ke</m:t>
                    </m:r>
                  </m:den>
                </m:f>
                <m:r>
                  <w:rPr>
                    <w:rFonts w:ascii="Cambria Math" w:hAnsi="Cambria Math" w:cstheme="majorHAnsi"/>
                    <w:sz w:val="20"/>
                    <w:szCs w:val="20"/>
                  </w:rPr>
                  <m:t>+tinf</m:t>
                </m:r>
              </m:oMath>
            </m:oMathPara>
          </w:p>
          <w:p w14:paraId="3D22B09F" w14:textId="77777777" w:rsidR="00681130" w:rsidRPr="00681130" w:rsidRDefault="00681130" w:rsidP="00681130">
            <w:pPr>
              <w:jc w:val="center"/>
              <w:rPr>
                <w:rFonts w:asciiTheme="majorHAnsi" w:eastAsia="Calibri" w:hAnsiTheme="majorHAnsi" w:cstheme="majorHAnsi"/>
                <w:sz w:val="20"/>
                <w:szCs w:val="20"/>
              </w:rPr>
            </w:pPr>
          </w:p>
        </w:tc>
        <w:tc>
          <w:tcPr>
            <w:tcW w:w="2161" w:type="dxa"/>
          </w:tcPr>
          <w:p w14:paraId="76DE9FB2" w14:textId="77777777" w:rsidR="00681130" w:rsidRPr="00681130" w:rsidRDefault="00681130" w:rsidP="00681130">
            <w:pPr>
              <w:jc w:val="center"/>
              <w:rPr>
                <w:rFonts w:asciiTheme="majorHAnsi" w:eastAsia="Calibri" w:hAnsiTheme="majorHAnsi" w:cstheme="majorHAnsi"/>
                <w:sz w:val="20"/>
                <w:szCs w:val="20"/>
              </w:rPr>
            </w:pPr>
          </w:p>
        </w:tc>
      </w:tr>
      <w:tr w:rsidR="00681130" w:rsidRPr="00681130" w14:paraId="0FA4E65D" w14:textId="77777777" w:rsidTr="00681130">
        <w:tc>
          <w:tcPr>
            <w:tcW w:w="2695" w:type="dxa"/>
          </w:tcPr>
          <w:p w14:paraId="2C9291E1" w14:textId="77777777" w:rsidR="00681130" w:rsidRPr="00681130" w:rsidRDefault="00681130" w:rsidP="00681130">
            <w:pPr>
              <w:pStyle w:val="ListParagraph"/>
              <w:numPr>
                <w:ilvl w:val="0"/>
                <w:numId w:val="16"/>
              </w:numPr>
              <w:rPr>
                <w:rFonts w:asciiTheme="majorHAnsi" w:hAnsiTheme="majorHAnsi" w:cstheme="majorHAnsi"/>
                <w:sz w:val="20"/>
                <w:szCs w:val="20"/>
              </w:rPr>
            </w:pPr>
            <w:r w:rsidRPr="00681130">
              <w:rPr>
                <w:rFonts w:asciiTheme="majorHAnsi" w:hAnsiTheme="majorHAnsi" w:cstheme="majorHAnsi"/>
                <w:sz w:val="20"/>
                <w:szCs w:val="20"/>
              </w:rPr>
              <w:t>Calculate new MD (mg)</w:t>
            </w:r>
          </w:p>
        </w:tc>
        <w:tc>
          <w:tcPr>
            <w:tcW w:w="4494" w:type="dxa"/>
          </w:tcPr>
          <w:p w14:paraId="0DF32508" w14:textId="77777777" w:rsidR="00681130" w:rsidRPr="00681130" w:rsidRDefault="00681130" w:rsidP="00681130">
            <w:pPr>
              <w:jc w:val="center"/>
              <w:rPr>
                <w:rFonts w:asciiTheme="majorHAnsi" w:eastAsia="Calibri" w:hAnsiTheme="majorHAnsi" w:cstheme="majorHAnsi"/>
                <w:sz w:val="20"/>
                <w:szCs w:val="20"/>
              </w:rPr>
            </w:pPr>
            <m:oMathPara>
              <m:oMath>
                <m:r>
                  <w:rPr>
                    <w:rFonts w:ascii="Cambria Math" w:eastAsia="Times New Roman" w:hAnsi="Cambria Math" w:cstheme="majorHAnsi"/>
                    <w:sz w:val="20"/>
                    <w:szCs w:val="20"/>
                  </w:rPr>
                  <m:t>MD=</m:t>
                </m:r>
                <m:f>
                  <m:fPr>
                    <m:ctrlPr>
                      <w:rPr>
                        <w:rFonts w:ascii="Cambria Math" w:eastAsia="Times New Roman" w:hAnsi="Cambria Math" w:cstheme="majorHAnsi"/>
                        <w:i/>
                        <w:sz w:val="20"/>
                        <w:szCs w:val="20"/>
                      </w:rPr>
                    </m:ctrlPr>
                  </m:fPr>
                  <m:num>
                    <m:r>
                      <w:rPr>
                        <w:rFonts w:ascii="Cambria Math" w:eastAsia="Times New Roman" w:hAnsi="Cambria Math" w:cstheme="majorHAnsi"/>
                        <w:sz w:val="20"/>
                        <w:szCs w:val="20"/>
                      </w:rPr>
                      <m:t>Dose24</m:t>
                    </m:r>
                  </m:num>
                  <m:den>
                    <m:f>
                      <m:fPr>
                        <m:type m:val="lin"/>
                        <m:ctrlPr>
                          <w:rPr>
                            <w:rFonts w:ascii="Cambria Math" w:eastAsia="Times New Roman" w:hAnsi="Cambria Math" w:cstheme="majorHAnsi"/>
                            <w:i/>
                            <w:sz w:val="20"/>
                            <w:szCs w:val="20"/>
                          </w:rPr>
                        </m:ctrlPr>
                      </m:fPr>
                      <m:num>
                        <m:r>
                          <w:rPr>
                            <w:rFonts w:ascii="Cambria Math" w:eastAsia="Times New Roman" w:hAnsi="Cambria Math" w:cstheme="majorHAnsi"/>
                            <w:sz w:val="20"/>
                            <w:szCs w:val="20"/>
                          </w:rPr>
                          <m:t>24</m:t>
                        </m:r>
                      </m:num>
                      <m:den>
                        <m:r>
                          <w:rPr>
                            <w:rFonts w:ascii="Cambria Math" w:eastAsia="Times New Roman" w:hAnsi="Cambria Math" w:cstheme="majorHAnsi"/>
                            <w:sz w:val="20"/>
                            <w:szCs w:val="20"/>
                          </w:rPr>
                          <m:t>Tau</m:t>
                        </m:r>
                      </m:den>
                    </m:f>
                  </m:den>
                </m:f>
              </m:oMath>
            </m:oMathPara>
          </w:p>
        </w:tc>
        <w:tc>
          <w:tcPr>
            <w:tcW w:w="2161" w:type="dxa"/>
          </w:tcPr>
          <w:p w14:paraId="43E0518A" w14:textId="77777777" w:rsidR="00681130" w:rsidRPr="00681130" w:rsidRDefault="00681130" w:rsidP="00681130">
            <w:pPr>
              <w:jc w:val="center"/>
              <w:rPr>
                <w:rFonts w:asciiTheme="majorHAnsi" w:eastAsia="Calibri" w:hAnsiTheme="majorHAnsi" w:cstheme="majorHAnsi"/>
                <w:sz w:val="20"/>
                <w:szCs w:val="20"/>
              </w:rPr>
            </w:pPr>
          </w:p>
        </w:tc>
      </w:tr>
    </w:tbl>
    <w:p w14:paraId="44263F59" w14:textId="77777777" w:rsidR="00681130" w:rsidRPr="00681130" w:rsidRDefault="00681130" w:rsidP="00681130">
      <w:pPr>
        <w:rPr>
          <w:rFonts w:asciiTheme="majorHAnsi" w:hAnsiTheme="majorHAnsi" w:cstheme="majorHAnsi"/>
        </w:rPr>
      </w:pPr>
    </w:p>
    <w:p w14:paraId="0A5910B4" w14:textId="77777777" w:rsidR="00681130" w:rsidRPr="00681130" w:rsidRDefault="00681130" w:rsidP="00681130">
      <w:pPr>
        <w:rPr>
          <w:rFonts w:asciiTheme="majorHAnsi" w:hAnsiTheme="majorHAnsi" w:cstheme="majorHAnsi"/>
        </w:rPr>
      </w:pPr>
    </w:p>
    <w:p w14:paraId="15E274ED" w14:textId="77777777" w:rsidR="00681130" w:rsidRPr="00681130" w:rsidRDefault="00681130" w:rsidP="00681130">
      <w:pPr>
        <w:rPr>
          <w:rFonts w:asciiTheme="majorHAnsi" w:hAnsiTheme="majorHAnsi" w:cstheme="majorHAnsi"/>
        </w:rPr>
      </w:pPr>
    </w:p>
    <w:p w14:paraId="2BAC7008" w14:textId="77777777" w:rsidR="00681130" w:rsidRPr="00681130" w:rsidRDefault="00681130" w:rsidP="00681130">
      <w:pPr>
        <w:rPr>
          <w:rFonts w:asciiTheme="majorHAnsi" w:hAnsiTheme="majorHAnsi" w:cstheme="majorHAnsi"/>
        </w:rPr>
      </w:pPr>
    </w:p>
    <w:p w14:paraId="1152A4C5" w14:textId="77777777" w:rsidR="00681130" w:rsidRPr="00681130" w:rsidRDefault="00681130" w:rsidP="00681130">
      <w:pPr>
        <w:rPr>
          <w:rFonts w:asciiTheme="majorHAnsi" w:hAnsiTheme="majorHAnsi" w:cstheme="majorHAnsi"/>
        </w:rPr>
      </w:pPr>
    </w:p>
    <w:p w14:paraId="2A87E672" w14:textId="77777777" w:rsidR="00681130" w:rsidRPr="00681130" w:rsidRDefault="00681130" w:rsidP="00681130">
      <w:pPr>
        <w:rPr>
          <w:rFonts w:asciiTheme="majorHAnsi" w:hAnsiTheme="majorHAnsi" w:cstheme="majorHAnsi"/>
        </w:rPr>
      </w:pPr>
    </w:p>
    <w:p w14:paraId="3AA064D4" w14:textId="77777777" w:rsidR="00681130" w:rsidRPr="00681130" w:rsidRDefault="00681130" w:rsidP="00681130">
      <w:pPr>
        <w:rPr>
          <w:rFonts w:asciiTheme="majorHAnsi" w:hAnsiTheme="majorHAnsi" w:cstheme="majorHAnsi"/>
        </w:rPr>
      </w:pPr>
    </w:p>
    <w:p w14:paraId="110CAF75" w14:textId="299C428E" w:rsidR="00681130" w:rsidRDefault="00681130" w:rsidP="00681130">
      <w:pPr>
        <w:rPr>
          <w:rFonts w:asciiTheme="majorHAnsi" w:hAnsiTheme="majorHAnsi" w:cstheme="majorHAnsi"/>
        </w:rPr>
      </w:pPr>
    </w:p>
    <w:p w14:paraId="2EB3E6E2" w14:textId="0E40BD12" w:rsidR="00681130" w:rsidRDefault="00681130" w:rsidP="00681130">
      <w:pPr>
        <w:rPr>
          <w:rFonts w:asciiTheme="majorHAnsi" w:hAnsiTheme="majorHAnsi" w:cstheme="majorHAnsi"/>
        </w:rPr>
      </w:pPr>
    </w:p>
    <w:p w14:paraId="64A2154F" w14:textId="77777777" w:rsidR="00B56C7C" w:rsidRPr="00681130" w:rsidRDefault="00B56C7C" w:rsidP="00681130">
      <w:pPr>
        <w:rPr>
          <w:rFonts w:asciiTheme="majorHAnsi" w:hAnsiTheme="majorHAnsi" w:cstheme="majorHAnsi"/>
        </w:rPr>
      </w:pPr>
    </w:p>
    <w:p w14:paraId="46AD3B9A" w14:textId="77777777" w:rsidR="00681130" w:rsidRPr="00681130" w:rsidRDefault="00681130" w:rsidP="00681130">
      <w:pPr>
        <w:spacing w:line="240" w:lineRule="auto"/>
        <w:rPr>
          <w:rFonts w:asciiTheme="majorHAnsi" w:hAnsiTheme="majorHAnsi" w:cstheme="majorHAnsi"/>
          <w:sz w:val="20"/>
          <w:szCs w:val="20"/>
        </w:rPr>
      </w:pPr>
      <w:r w:rsidRPr="00681130">
        <w:rPr>
          <w:rFonts w:asciiTheme="majorHAnsi" w:hAnsiTheme="majorHAnsi" w:cstheme="majorHAnsi"/>
          <w:sz w:val="20"/>
          <w:szCs w:val="20"/>
        </w:rPr>
        <w:t>Two-Level Pharmacokinetic Calculations for Patients within the First 24 Hours of Therapy</w:t>
      </w:r>
    </w:p>
    <w:p w14:paraId="7ED45211" w14:textId="77777777" w:rsidR="00681130" w:rsidRPr="00681130" w:rsidRDefault="00681130" w:rsidP="00681130">
      <w:pPr>
        <w:spacing w:line="240" w:lineRule="auto"/>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2695"/>
        <w:gridCol w:w="4494"/>
        <w:gridCol w:w="2161"/>
      </w:tblGrid>
      <w:tr w:rsidR="00681130" w:rsidRPr="00681130" w14:paraId="2D1709EC" w14:textId="77777777" w:rsidTr="00681130">
        <w:tc>
          <w:tcPr>
            <w:tcW w:w="2695" w:type="dxa"/>
          </w:tcPr>
          <w:p w14:paraId="325D4F30" w14:textId="77777777" w:rsidR="00681130" w:rsidRPr="00681130" w:rsidRDefault="00681130" w:rsidP="00681130">
            <w:pPr>
              <w:jc w:val="center"/>
              <w:rPr>
                <w:rFonts w:asciiTheme="majorHAnsi" w:hAnsiTheme="majorHAnsi" w:cstheme="majorHAnsi"/>
                <w:b/>
                <w:sz w:val="20"/>
                <w:szCs w:val="20"/>
              </w:rPr>
            </w:pPr>
            <w:r w:rsidRPr="00681130">
              <w:rPr>
                <w:rFonts w:asciiTheme="majorHAnsi" w:hAnsiTheme="majorHAnsi" w:cstheme="majorHAnsi"/>
                <w:b/>
                <w:sz w:val="20"/>
                <w:szCs w:val="20"/>
              </w:rPr>
              <w:t>Step</w:t>
            </w:r>
          </w:p>
        </w:tc>
        <w:tc>
          <w:tcPr>
            <w:tcW w:w="4494" w:type="dxa"/>
          </w:tcPr>
          <w:p w14:paraId="40B3A567" w14:textId="77777777" w:rsidR="00681130" w:rsidRPr="00681130" w:rsidRDefault="00681130" w:rsidP="00681130">
            <w:pPr>
              <w:jc w:val="center"/>
              <w:rPr>
                <w:rFonts w:asciiTheme="majorHAnsi" w:hAnsiTheme="majorHAnsi" w:cstheme="majorHAnsi"/>
                <w:b/>
                <w:sz w:val="20"/>
                <w:szCs w:val="20"/>
              </w:rPr>
            </w:pPr>
            <w:r w:rsidRPr="00681130">
              <w:rPr>
                <w:rFonts w:asciiTheme="majorHAnsi" w:hAnsiTheme="majorHAnsi" w:cstheme="majorHAnsi"/>
                <w:b/>
                <w:sz w:val="20"/>
                <w:szCs w:val="20"/>
              </w:rPr>
              <w:t>Equation</w:t>
            </w:r>
          </w:p>
        </w:tc>
        <w:tc>
          <w:tcPr>
            <w:tcW w:w="2161" w:type="dxa"/>
          </w:tcPr>
          <w:p w14:paraId="46DD2667" w14:textId="77777777" w:rsidR="00681130" w:rsidRPr="00681130" w:rsidRDefault="00681130" w:rsidP="00681130">
            <w:pPr>
              <w:jc w:val="center"/>
              <w:rPr>
                <w:rFonts w:asciiTheme="majorHAnsi" w:hAnsiTheme="majorHAnsi" w:cstheme="majorHAnsi"/>
                <w:b/>
                <w:sz w:val="20"/>
                <w:szCs w:val="20"/>
              </w:rPr>
            </w:pPr>
            <w:r w:rsidRPr="00681130">
              <w:rPr>
                <w:rFonts w:asciiTheme="majorHAnsi" w:hAnsiTheme="majorHAnsi" w:cstheme="majorHAnsi"/>
                <w:b/>
                <w:sz w:val="20"/>
                <w:szCs w:val="20"/>
              </w:rPr>
              <w:t>Notes</w:t>
            </w:r>
          </w:p>
        </w:tc>
      </w:tr>
      <w:tr w:rsidR="00681130" w:rsidRPr="00681130" w14:paraId="6ED65232" w14:textId="77777777" w:rsidTr="00681130">
        <w:tc>
          <w:tcPr>
            <w:tcW w:w="2695" w:type="dxa"/>
          </w:tcPr>
          <w:p w14:paraId="67E467AB" w14:textId="77777777" w:rsidR="00681130" w:rsidRPr="00681130" w:rsidRDefault="00681130" w:rsidP="00681130">
            <w:pPr>
              <w:pStyle w:val="ListParagraph"/>
              <w:numPr>
                <w:ilvl w:val="0"/>
                <w:numId w:val="18"/>
              </w:numPr>
              <w:rPr>
                <w:rFonts w:asciiTheme="majorHAnsi" w:hAnsiTheme="majorHAnsi" w:cstheme="majorHAnsi"/>
                <w:sz w:val="20"/>
                <w:szCs w:val="20"/>
              </w:rPr>
            </w:pPr>
            <w:r w:rsidRPr="00681130">
              <w:rPr>
                <w:rFonts w:asciiTheme="majorHAnsi" w:hAnsiTheme="majorHAnsi" w:cstheme="majorHAnsi"/>
                <w:sz w:val="20"/>
                <w:szCs w:val="20"/>
              </w:rPr>
              <w:t>Calculate rate of elimination (K</w:t>
            </w:r>
            <w:r w:rsidRPr="00681130">
              <w:rPr>
                <w:rFonts w:asciiTheme="majorHAnsi" w:hAnsiTheme="majorHAnsi" w:cstheme="majorHAnsi"/>
                <w:sz w:val="20"/>
                <w:szCs w:val="20"/>
                <w:vertAlign w:val="subscript"/>
              </w:rPr>
              <w:t>e</w:t>
            </w:r>
            <w:r w:rsidRPr="00681130">
              <w:rPr>
                <w:rFonts w:asciiTheme="majorHAnsi" w:hAnsiTheme="majorHAnsi" w:cstheme="majorHAnsi"/>
                <w:sz w:val="20"/>
                <w:szCs w:val="20"/>
              </w:rPr>
              <w:t>, h</w:t>
            </w:r>
            <w:r w:rsidRPr="00681130">
              <w:rPr>
                <w:rFonts w:asciiTheme="majorHAnsi" w:hAnsiTheme="majorHAnsi" w:cstheme="majorHAnsi"/>
                <w:sz w:val="20"/>
                <w:szCs w:val="20"/>
                <w:vertAlign w:val="superscript"/>
              </w:rPr>
              <w:t>-1</w:t>
            </w:r>
            <w:r w:rsidRPr="00681130">
              <w:rPr>
                <w:rFonts w:asciiTheme="majorHAnsi" w:hAnsiTheme="majorHAnsi" w:cstheme="majorHAnsi"/>
                <w:sz w:val="20"/>
                <w:szCs w:val="20"/>
              </w:rPr>
              <w:t>)</w:t>
            </w:r>
          </w:p>
        </w:tc>
        <w:tc>
          <w:tcPr>
            <w:tcW w:w="4494" w:type="dxa"/>
          </w:tcPr>
          <w:p w14:paraId="4069E928" w14:textId="77777777" w:rsidR="00681130" w:rsidRPr="00681130" w:rsidRDefault="00681130" w:rsidP="00681130">
            <w:pPr>
              <w:jc w:val="center"/>
              <w:rPr>
                <w:rFonts w:asciiTheme="majorHAnsi" w:eastAsiaTheme="minorEastAsia" w:hAnsiTheme="majorHAnsi" w:cstheme="majorHAnsi"/>
                <w:sz w:val="20"/>
                <w:szCs w:val="20"/>
              </w:rPr>
            </w:pPr>
            <m:oMathPara>
              <m:oMath>
                <m:r>
                  <w:rPr>
                    <w:rFonts w:ascii="Cambria Math" w:hAnsi="Cambria Math" w:cstheme="majorHAnsi"/>
                    <w:sz w:val="20"/>
                    <w:szCs w:val="20"/>
                  </w:rPr>
                  <m:t xml:space="preserve">Ke= </m:t>
                </m:r>
                <m:f>
                  <m:fPr>
                    <m:ctrlPr>
                      <w:rPr>
                        <w:rFonts w:ascii="Cambria Math" w:hAnsi="Cambria Math" w:cstheme="majorHAnsi"/>
                        <w:i/>
                        <w:sz w:val="20"/>
                        <w:szCs w:val="20"/>
                      </w:rPr>
                    </m:ctrlPr>
                  </m:fPr>
                  <m:num>
                    <m:f>
                      <m:fPr>
                        <m:type m:val="lin"/>
                        <m:ctrlPr>
                          <w:rPr>
                            <w:rFonts w:ascii="Cambria Math" w:hAnsi="Cambria Math" w:cstheme="majorHAnsi"/>
                            <w:i/>
                            <w:sz w:val="20"/>
                            <w:szCs w:val="20"/>
                          </w:rPr>
                        </m:ctrlPr>
                      </m:fPr>
                      <m:num>
                        <m:r>
                          <w:rPr>
                            <w:rFonts w:ascii="Cambria Math" w:hAnsi="Cambria Math" w:cstheme="majorHAnsi"/>
                            <w:sz w:val="20"/>
                            <w:szCs w:val="20"/>
                          </w:rPr>
                          <m:t>ln(C1</m:t>
                        </m:r>
                      </m:num>
                      <m:den>
                        <m:r>
                          <w:rPr>
                            <w:rFonts w:ascii="Cambria Math" w:hAnsi="Cambria Math" w:cstheme="majorHAnsi"/>
                            <w:sz w:val="20"/>
                            <w:szCs w:val="20"/>
                          </w:rPr>
                          <m:t>C2)</m:t>
                        </m:r>
                      </m:den>
                    </m:f>
                  </m:num>
                  <m:den>
                    <m:r>
                      <w:rPr>
                        <w:rFonts w:ascii="Cambria Math" w:hAnsi="Cambria Math" w:cstheme="majorHAnsi"/>
                        <w:sz w:val="20"/>
                        <w:szCs w:val="20"/>
                      </w:rPr>
                      <m:t>∆T</m:t>
                    </m:r>
                  </m:den>
                </m:f>
              </m:oMath>
            </m:oMathPara>
          </w:p>
        </w:tc>
        <w:tc>
          <w:tcPr>
            <w:tcW w:w="2161" w:type="dxa"/>
          </w:tcPr>
          <w:p w14:paraId="3A227BCC" w14:textId="77777777" w:rsidR="00681130" w:rsidRPr="00681130" w:rsidRDefault="00681130" w:rsidP="00681130">
            <w:pPr>
              <w:jc w:val="center"/>
              <w:rPr>
                <w:rFonts w:asciiTheme="majorHAnsi" w:eastAsia="Calibri" w:hAnsiTheme="majorHAnsi" w:cstheme="majorHAnsi"/>
                <w:sz w:val="20"/>
                <w:szCs w:val="20"/>
              </w:rPr>
            </w:pPr>
            <w:r w:rsidRPr="00681130">
              <w:rPr>
                <w:rFonts w:asciiTheme="majorHAnsi" w:eastAsia="Calibri" w:hAnsiTheme="majorHAnsi" w:cstheme="majorHAnsi"/>
                <w:sz w:val="20"/>
                <w:szCs w:val="20"/>
              </w:rPr>
              <w:t>C1=Higher concentration</w:t>
            </w:r>
          </w:p>
          <w:p w14:paraId="57F419E6" w14:textId="77777777" w:rsidR="00681130" w:rsidRPr="00681130" w:rsidRDefault="00681130" w:rsidP="00681130">
            <w:pPr>
              <w:jc w:val="center"/>
              <w:rPr>
                <w:rFonts w:asciiTheme="majorHAnsi" w:eastAsia="Calibri" w:hAnsiTheme="majorHAnsi" w:cstheme="majorHAnsi"/>
                <w:sz w:val="20"/>
                <w:szCs w:val="20"/>
              </w:rPr>
            </w:pPr>
            <w:r w:rsidRPr="00681130">
              <w:rPr>
                <w:rFonts w:asciiTheme="majorHAnsi" w:eastAsia="Calibri" w:hAnsiTheme="majorHAnsi" w:cstheme="majorHAnsi"/>
                <w:sz w:val="20"/>
                <w:szCs w:val="20"/>
              </w:rPr>
              <w:t>C2=Lower concentration</w:t>
            </w:r>
          </w:p>
          <w:p w14:paraId="4A926FC2" w14:textId="77777777" w:rsidR="00681130" w:rsidRPr="00681130" w:rsidRDefault="00681130" w:rsidP="00681130">
            <w:pPr>
              <w:jc w:val="center"/>
              <w:rPr>
                <w:rFonts w:asciiTheme="majorHAnsi" w:eastAsia="Calibri" w:hAnsiTheme="majorHAnsi" w:cstheme="majorHAnsi"/>
                <w:sz w:val="20"/>
                <w:szCs w:val="20"/>
              </w:rPr>
            </w:pPr>
            <w:r w:rsidRPr="00681130">
              <w:rPr>
                <w:rFonts w:asciiTheme="majorHAnsi" w:eastAsia="Calibri" w:hAnsiTheme="majorHAnsi" w:cstheme="majorHAnsi"/>
                <w:sz w:val="20"/>
                <w:szCs w:val="20"/>
              </w:rPr>
              <w:t>∆T=Time between concentrations</w:t>
            </w:r>
          </w:p>
        </w:tc>
      </w:tr>
      <w:tr w:rsidR="00681130" w:rsidRPr="00681130" w14:paraId="5E386B98" w14:textId="77777777" w:rsidTr="00681130">
        <w:trPr>
          <w:trHeight w:val="566"/>
        </w:trPr>
        <w:tc>
          <w:tcPr>
            <w:tcW w:w="2695" w:type="dxa"/>
          </w:tcPr>
          <w:p w14:paraId="2F1C3782" w14:textId="77777777" w:rsidR="00681130" w:rsidRPr="00681130" w:rsidRDefault="00681130" w:rsidP="00681130">
            <w:pPr>
              <w:pStyle w:val="ListParagraph"/>
              <w:numPr>
                <w:ilvl w:val="0"/>
                <w:numId w:val="18"/>
              </w:numPr>
              <w:rPr>
                <w:rFonts w:asciiTheme="majorHAnsi" w:hAnsiTheme="majorHAnsi" w:cstheme="majorHAnsi"/>
                <w:sz w:val="20"/>
                <w:szCs w:val="20"/>
              </w:rPr>
            </w:pPr>
            <w:r w:rsidRPr="00681130">
              <w:rPr>
                <w:rFonts w:asciiTheme="majorHAnsi" w:hAnsiTheme="majorHAnsi" w:cstheme="majorHAnsi"/>
                <w:sz w:val="20"/>
                <w:szCs w:val="20"/>
              </w:rPr>
              <w:t>Calculate half-life (T</w:t>
            </w:r>
            <w:r w:rsidRPr="00681130">
              <w:rPr>
                <w:rFonts w:asciiTheme="majorHAnsi" w:hAnsiTheme="majorHAnsi" w:cstheme="majorHAnsi"/>
                <w:sz w:val="20"/>
                <w:szCs w:val="20"/>
                <w:vertAlign w:val="subscript"/>
              </w:rPr>
              <w:t>1/2</w:t>
            </w:r>
            <w:r w:rsidRPr="00681130">
              <w:rPr>
                <w:rFonts w:asciiTheme="majorHAnsi" w:hAnsiTheme="majorHAnsi" w:cstheme="majorHAnsi"/>
                <w:sz w:val="20"/>
                <w:szCs w:val="20"/>
              </w:rPr>
              <w:t>, h)</w:t>
            </w:r>
          </w:p>
        </w:tc>
        <w:tc>
          <w:tcPr>
            <w:tcW w:w="4494" w:type="dxa"/>
          </w:tcPr>
          <w:p w14:paraId="688A4D11" w14:textId="77777777" w:rsidR="00681130" w:rsidRPr="00681130" w:rsidRDefault="00681130" w:rsidP="00681130">
            <w:pPr>
              <w:jc w:val="center"/>
              <w:rPr>
                <w:rFonts w:asciiTheme="majorHAnsi" w:eastAsia="Calibri" w:hAnsiTheme="majorHAnsi" w:cstheme="majorHAnsi"/>
                <w:sz w:val="20"/>
                <w:szCs w:val="20"/>
              </w:rPr>
            </w:pPr>
            <m:oMathPara>
              <m:oMath>
                <m:r>
                  <w:rPr>
                    <w:rFonts w:ascii="Cambria Math" w:eastAsia="Calibri" w:hAnsi="Cambria Math" w:cstheme="majorHAnsi"/>
                    <w:sz w:val="20"/>
                    <w:szCs w:val="20"/>
                  </w:rPr>
                  <m:t>T1/2=</m:t>
                </m:r>
                <m:f>
                  <m:fPr>
                    <m:ctrlPr>
                      <w:rPr>
                        <w:rFonts w:ascii="Cambria Math" w:eastAsia="Calibri" w:hAnsi="Cambria Math" w:cstheme="majorHAnsi"/>
                        <w:i/>
                        <w:sz w:val="20"/>
                        <w:szCs w:val="20"/>
                      </w:rPr>
                    </m:ctrlPr>
                  </m:fPr>
                  <m:num>
                    <m:r>
                      <w:rPr>
                        <w:rFonts w:ascii="Cambria Math" w:eastAsia="Calibri" w:hAnsi="Cambria Math" w:cstheme="majorHAnsi"/>
                        <w:sz w:val="20"/>
                        <w:szCs w:val="20"/>
                      </w:rPr>
                      <m:t>0.693</m:t>
                    </m:r>
                  </m:num>
                  <m:den>
                    <m:r>
                      <w:rPr>
                        <w:rFonts w:ascii="Cambria Math" w:eastAsia="Calibri" w:hAnsi="Cambria Math" w:cstheme="majorHAnsi"/>
                        <w:sz w:val="20"/>
                        <w:szCs w:val="20"/>
                      </w:rPr>
                      <m:t>Ke</m:t>
                    </m:r>
                  </m:den>
                </m:f>
              </m:oMath>
            </m:oMathPara>
          </w:p>
        </w:tc>
        <w:tc>
          <w:tcPr>
            <w:tcW w:w="2161" w:type="dxa"/>
          </w:tcPr>
          <w:p w14:paraId="1CBB7306" w14:textId="77777777" w:rsidR="00681130" w:rsidRPr="00681130" w:rsidRDefault="00681130" w:rsidP="00681130">
            <w:pPr>
              <w:jc w:val="center"/>
              <w:rPr>
                <w:rFonts w:asciiTheme="majorHAnsi" w:eastAsia="Calibri" w:hAnsiTheme="majorHAnsi" w:cstheme="majorHAnsi"/>
                <w:sz w:val="20"/>
                <w:szCs w:val="20"/>
              </w:rPr>
            </w:pPr>
          </w:p>
        </w:tc>
      </w:tr>
      <w:tr w:rsidR="00681130" w:rsidRPr="00681130" w14:paraId="76FA8F33" w14:textId="77777777" w:rsidTr="00681130">
        <w:tc>
          <w:tcPr>
            <w:tcW w:w="2695" w:type="dxa"/>
          </w:tcPr>
          <w:p w14:paraId="35848BD3" w14:textId="77777777" w:rsidR="00681130" w:rsidRPr="00681130" w:rsidRDefault="00681130" w:rsidP="00681130">
            <w:pPr>
              <w:pStyle w:val="ListParagraph"/>
              <w:numPr>
                <w:ilvl w:val="0"/>
                <w:numId w:val="18"/>
              </w:numPr>
              <w:rPr>
                <w:rFonts w:asciiTheme="majorHAnsi" w:hAnsiTheme="majorHAnsi" w:cstheme="majorHAnsi"/>
                <w:sz w:val="20"/>
                <w:szCs w:val="20"/>
              </w:rPr>
            </w:pPr>
            <w:r w:rsidRPr="00681130">
              <w:rPr>
                <w:rFonts w:asciiTheme="majorHAnsi" w:hAnsiTheme="majorHAnsi" w:cstheme="majorHAnsi"/>
                <w:sz w:val="20"/>
                <w:szCs w:val="20"/>
              </w:rPr>
              <w:t>Calculate peak (C</w:t>
            </w:r>
            <w:r w:rsidRPr="00681130">
              <w:rPr>
                <w:rFonts w:asciiTheme="majorHAnsi" w:hAnsiTheme="majorHAnsi" w:cstheme="majorHAnsi"/>
                <w:sz w:val="20"/>
                <w:szCs w:val="20"/>
                <w:vertAlign w:val="subscript"/>
              </w:rPr>
              <w:t>max</w:t>
            </w:r>
            <w:r w:rsidRPr="00681130">
              <w:rPr>
                <w:rFonts w:asciiTheme="majorHAnsi" w:hAnsiTheme="majorHAnsi" w:cstheme="majorHAnsi"/>
                <w:sz w:val="20"/>
                <w:szCs w:val="20"/>
              </w:rPr>
              <w:t>, mg/L)</w:t>
            </w:r>
          </w:p>
        </w:tc>
        <w:tc>
          <w:tcPr>
            <w:tcW w:w="4494" w:type="dxa"/>
          </w:tcPr>
          <w:p w14:paraId="38F4DCD1" w14:textId="77777777" w:rsidR="00681130" w:rsidRPr="00681130" w:rsidRDefault="00681130" w:rsidP="00681130">
            <w:pPr>
              <w:jc w:val="center"/>
              <w:rPr>
                <w:rFonts w:asciiTheme="majorHAnsi" w:eastAsia="Calibri" w:hAnsiTheme="majorHAnsi" w:cstheme="majorHAnsi"/>
                <w:sz w:val="20"/>
                <w:szCs w:val="20"/>
              </w:rPr>
            </w:pPr>
            <m:oMathPara>
              <m:oMath>
                <m:r>
                  <w:rPr>
                    <w:rFonts w:ascii="Cambria Math" w:eastAsia="Calibri" w:hAnsi="Cambria Math" w:cstheme="majorHAnsi"/>
                    <w:sz w:val="20"/>
                    <w:szCs w:val="20"/>
                  </w:rPr>
                  <m:t>Cmax=</m:t>
                </m:r>
                <m:f>
                  <m:fPr>
                    <m:type m:val="lin"/>
                    <m:ctrlPr>
                      <w:rPr>
                        <w:rFonts w:ascii="Cambria Math" w:eastAsia="Calibri" w:hAnsi="Cambria Math" w:cstheme="majorHAnsi"/>
                        <w:i/>
                        <w:sz w:val="20"/>
                        <w:szCs w:val="20"/>
                      </w:rPr>
                    </m:ctrlPr>
                  </m:fPr>
                  <m:num>
                    <m:r>
                      <w:rPr>
                        <w:rFonts w:ascii="Cambria Math" w:eastAsia="Calibri" w:hAnsi="Cambria Math" w:cstheme="majorHAnsi"/>
                        <w:sz w:val="20"/>
                        <w:szCs w:val="20"/>
                      </w:rPr>
                      <m:t>C1</m:t>
                    </m:r>
                  </m:num>
                  <m:den>
                    <m:sSup>
                      <m:sSupPr>
                        <m:ctrlPr>
                          <w:rPr>
                            <w:rFonts w:ascii="Cambria Math" w:eastAsia="Calibri" w:hAnsi="Cambria Math" w:cstheme="majorHAnsi"/>
                            <w:i/>
                            <w:sz w:val="20"/>
                            <w:szCs w:val="20"/>
                          </w:rPr>
                        </m:ctrlPr>
                      </m:sSupPr>
                      <m:e>
                        <m:r>
                          <w:rPr>
                            <w:rFonts w:ascii="Cambria Math" w:eastAsia="Calibri" w:hAnsi="Cambria Math" w:cstheme="majorHAnsi"/>
                            <w:sz w:val="20"/>
                            <w:szCs w:val="20"/>
                          </w:rPr>
                          <m:t>e</m:t>
                        </m:r>
                      </m:e>
                      <m:sup>
                        <m:r>
                          <w:rPr>
                            <w:rFonts w:ascii="Cambria Math" w:eastAsia="Calibri" w:hAnsi="Cambria Math" w:cstheme="majorHAnsi"/>
                            <w:sz w:val="20"/>
                            <w:szCs w:val="20"/>
                          </w:rPr>
                          <m:t>-Ket'</m:t>
                        </m:r>
                      </m:sup>
                    </m:sSup>
                  </m:den>
                </m:f>
              </m:oMath>
            </m:oMathPara>
          </w:p>
          <w:p w14:paraId="24C81C7D" w14:textId="77777777" w:rsidR="00681130" w:rsidRPr="00681130" w:rsidRDefault="00681130" w:rsidP="00681130">
            <w:pPr>
              <w:jc w:val="center"/>
              <w:rPr>
                <w:rFonts w:asciiTheme="majorHAnsi" w:eastAsia="Calibri" w:hAnsiTheme="majorHAnsi" w:cstheme="majorHAnsi"/>
                <w:sz w:val="20"/>
                <w:szCs w:val="20"/>
              </w:rPr>
            </w:pPr>
            <w:r w:rsidRPr="00681130">
              <w:rPr>
                <w:rFonts w:asciiTheme="majorHAnsi" w:eastAsia="Calibri" w:hAnsiTheme="majorHAnsi" w:cstheme="majorHAnsi"/>
                <w:sz w:val="20"/>
                <w:szCs w:val="20"/>
              </w:rPr>
              <w:t>OR</w:t>
            </w:r>
          </w:p>
          <w:p w14:paraId="2BF9A3BB" w14:textId="77777777" w:rsidR="00681130" w:rsidRPr="00681130" w:rsidRDefault="00681130" w:rsidP="00681130">
            <w:pPr>
              <w:jc w:val="center"/>
              <w:rPr>
                <w:rFonts w:asciiTheme="majorHAnsi" w:eastAsia="Calibri" w:hAnsiTheme="majorHAnsi" w:cstheme="majorHAnsi"/>
                <w:sz w:val="20"/>
                <w:szCs w:val="20"/>
              </w:rPr>
            </w:pPr>
            <m:oMathPara>
              <m:oMath>
                <m:r>
                  <w:rPr>
                    <w:rFonts w:ascii="Cambria Math" w:eastAsia="Calibri" w:hAnsi="Cambria Math" w:cstheme="majorHAnsi"/>
                    <w:sz w:val="20"/>
                    <w:szCs w:val="20"/>
                  </w:rPr>
                  <m:t>Cmax=C1*</m:t>
                </m:r>
                <m:sSup>
                  <m:sSupPr>
                    <m:ctrlPr>
                      <w:rPr>
                        <w:rFonts w:ascii="Cambria Math" w:eastAsia="Calibri" w:hAnsi="Cambria Math" w:cstheme="majorHAnsi"/>
                        <w:i/>
                        <w:sz w:val="20"/>
                        <w:szCs w:val="20"/>
                      </w:rPr>
                    </m:ctrlPr>
                  </m:sSupPr>
                  <m:e>
                    <m:r>
                      <w:rPr>
                        <w:rFonts w:ascii="Cambria Math" w:eastAsia="Calibri" w:hAnsi="Cambria Math" w:cstheme="majorHAnsi"/>
                        <w:sz w:val="20"/>
                        <w:szCs w:val="20"/>
                      </w:rPr>
                      <m:t>e</m:t>
                    </m:r>
                  </m:e>
                  <m:sup>
                    <m:r>
                      <w:rPr>
                        <w:rFonts w:ascii="Cambria Math" w:eastAsia="Calibri" w:hAnsi="Cambria Math" w:cstheme="majorHAnsi"/>
                        <w:sz w:val="20"/>
                        <w:szCs w:val="20"/>
                      </w:rPr>
                      <m:t>Ke*t'</m:t>
                    </m:r>
                  </m:sup>
                </m:sSup>
              </m:oMath>
            </m:oMathPara>
          </w:p>
        </w:tc>
        <w:tc>
          <w:tcPr>
            <w:tcW w:w="2161" w:type="dxa"/>
          </w:tcPr>
          <w:p w14:paraId="230AF8E1" w14:textId="77777777" w:rsidR="00681130" w:rsidRPr="00681130" w:rsidRDefault="00681130" w:rsidP="00681130">
            <w:pPr>
              <w:jc w:val="center"/>
              <w:rPr>
                <w:rFonts w:asciiTheme="majorHAnsi" w:eastAsia="Calibri" w:hAnsiTheme="majorHAnsi" w:cstheme="majorHAnsi"/>
                <w:sz w:val="20"/>
                <w:szCs w:val="20"/>
              </w:rPr>
            </w:pPr>
            <w:r w:rsidRPr="00681130">
              <w:rPr>
                <w:rFonts w:asciiTheme="majorHAnsi" w:eastAsia="Calibri" w:hAnsiTheme="majorHAnsi" w:cstheme="majorHAnsi"/>
                <w:sz w:val="20"/>
                <w:szCs w:val="20"/>
              </w:rPr>
              <w:t>t’=Time between C1 and end of infusion (h)</w:t>
            </w:r>
          </w:p>
        </w:tc>
      </w:tr>
      <w:tr w:rsidR="00681130" w:rsidRPr="00681130" w14:paraId="3917FE6C" w14:textId="77777777" w:rsidTr="00681130">
        <w:tc>
          <w:tcPr>
            <w:tcW w:w="2695" w:type="dxa"/>
          </w:tcPr>
          <w:p w14:paraId="055491F7" w14:textId="77777777" w:rsidR="00681130" w:rsidRPr="00681130" w:rsidRDefault="00681130" w:rsidP="00681130">
            <w:pPr>
              <w:pStyle w:val="ListParagraph"/>
              <w:numPr>
                <w:ilvl w:val="0"/>
                <w:numId w:val="18"/>
              </w:numPr>
              <w:rPr>
                <w:rFonts w:asciiTheme="majorHAnsi" w:hAnsiTheme="majorHAnsi" w:cstheme="majorHAnsi"/>
                <w:sz w:val="20"/>
                <w:szCs w:val="20"/>
              </w:rPr>
            </w:pPr>
            <w:r w:rsidRPr="00681130">
              <w:rPr>
                <w:rFonts w:asciiTheme="majorHAnsi" w:hAnsiTheme="majorHAnsi" w:cstheme="majorHAnsi"/>
                <w:sz w:val="20"/>
                <w:szCs w:val="20"/>
              </w:rPr>
              <w:t>Calculate volume of distribution (Vd, L)</w:t>
            </w:r>
          </w:p>
        </w:tc>
        <w:tc>
          <w:tcPr>
            <w:tcW w:w="4494" w:type="dxa"/>
          </w:tcPr>
          <w:p w14:paraId="18705CB7" w14:textId="77777777" w:rsidR="00681130" w:rsidRPr="00681130" w:rsidRDefault="00681130" w:rsidP="00681130">
            <w:pPr>
              <w:jc w:val="center"/>
              <w:rPr>
                <w:rFonts w:asciiTheme="majorHAnsi" w:eastAsia="Calibri" w:hAnsiTheme="majorHAnsi" w:cstheme="majorHAnsi"/>
                <w:sz w:val="20"/>
                <w:szCs w:val="20"/>
              </w:rPr>
            </w:pPr>
            <m:oMathPara>
              <m:oMath>
                <m:r>
                  <w:rPr>
                    <w:rFonts w:ascii="Cambria Math" w:hAnsi="Cambria Math" w:cstheme="majorHAnsi"/>
                    <w:sz w:val="20"/>
                    <w:szCs w:val="20"/>
                  </w:rPr>
                  <m:t xml:space="preserve">Vd= </m:t>
                </m:r>
                <m:f>
                  <m:fPr>
                    <m:ctrlPr>
                      <w:rPr>
                        <w:rFonts w:ascii="Cambria Math" w:hAnsi="Cambria Math" w:cstheme="majorHAnsi"/>
                        <w:i/>
                        <w:sz w:val="20"/>
                        <w:szCs w:val="20"/>
                      </w:rPr>
                    </m:ctrlPr>
                  </m:fPr>
                  <m:num>
                    <m:f>
                      <m:fPr>
                        <m:ctrlPr>
                          <w:rPr>
                            <w:rFonts w:ascii="Cambria Math" w:hAnsi="Cambria Math" w:cstheme="majorHAnsi"/>
                            <w:i/>
                            <w:sz w:val="20"/>
                            <w:szCs w:val="20"/>
                          </w:rPr>
                        </m:ctrlPr>
                      </m:fPr>
                      <m:num>
                        <m:r>
                          <w:rPr>
                            <w:rFonts w:ascii="Cambria Math" w:hAnsi="Cambria Math" w:cstheme="majorHAnsi"/>
                            <w:sz w:val="20"/>
                            <w:szCs w:val="20"/>
                          </w:rPr>
                          <m:t>Dose</m:t>
                        </m:r>
                      </m:num>
                      <m:den>
                        <m:r>
                          <w:rPr>
                            <w:rFonts w:ascii="Cambria Math" w:hAnsi="Cambria Math" w:cstheme="majorHAnsi"/>
                            <w:sz w:val="20"/>
                            <w:szCs w:val="20"/>
                          </w:rPr>
                          <m:t>t</m:t>
                        </m:r>
                      </m:den>
                    </m:f>
                    <m:r>
                      <w:rPr>
                        <w:rFonts w:ascii="Cambria Math" w:hAnsi="Cambria Math" w:cstheme="majorHAnsi"/>
                        <w:sz w:val="20"/>
                        <w:szCs w:val="20"/>
                      </w:rPr>
                      <m:t>(1-</m:t>
                    </m:r>
                    <m:sSup>
                      <m:sSupPr>
                        <m:ctrlPr>
                          <w:rPr>
                            <w:rFonts w:ascii="Cambria Math" w:hAnsi="Cambria Math" w:cstheme="majorHAnsi"/>
                            <w:i/>
                            <w:sz w:val="20"/>
                            <w:szCs w:val="20"/>
                          </w:rPr>
                        </m:ctrlPr>
                      </m:sSupPr>
                      <m:e>
                        <m:r>
                          <w:rPr>
                            <w:rFonts w:ascii="Cambria Math" w:hAnsi="Cambria Math" w:cstheme="majorHAnsi"/>
                            <w:sz w:val="20"/>
                            <w:szCs w:val="20"/>
                          </w:rPr>
                          <m:t>e</m:t>
                        </m:r>
                      </m:e>
                      <m:sup>
                        <m:r>
                          <w:rPr>
                            <w:rFonts w:ascii="Cambria Math" w:hAnsi="Cambria Math" w:cstheme="majorHAnsi"/>
                            <w:sz w:val="20"/>
                            <w:szCs w:val="20"/>
                          </w:rPr>
                          <m:t>-Ke*tinf</m:t>
                        </m:r>
                      </m:sup>
                    </m:sSup>
                    <m:r>
                      <w:rPr>
                        <w:rFonts w:ascii="Cambria Math" w:hAnsi="Cambria Math" w:cstheme="majorHAnsi"/>
                        <w:sz w:val="20"/>
                        <w:szCs w:val="20"/>
                      </w:rPr>
                      <m:t>)</m:t>
                    </m:r>
                  </m:num>
                  <m:den>
                    <m:r>
                      <w:rPr>
                        <w:rFonts w:ascii="Cambria Math" w:hAnsi="Cambria Math" w:cstheme="majorHAnsi"/>
                        <w:sz w:val="20"/>
                        <w:szCs w:val="20"/>
                      </w:rPr>
                      <m:t>Ke*Cmax</m:t>
                    </m:r>
                  </m:den>
                </m:f>
              </m:oMath>
            </m:oMathPara>
          </w:p>
        </w:tc>
        <w:tc>
          <w:tcPr>
            <w:tcW w:w="2161" w:type="dxa"/>
          </w:tcPr>
          <w:p w14:paraId="29A1A3DC" w14:textId="77777777" w:rsidR="00681130" w:rsidRPr="00681130" w:rsidRDefault="00681130" w:rsidP="00681130">
            <w:pPr>
              <w:jc w:val="center"/>
              <w:rPr>
                <w:rFonts w:asciiTheme="majorHAnsi" w:eastAsia="Calibri" w:hAnsiTheme="majorHAnsi" w:cstheme="majorHAnsi"/>
                <w:sz w:val="20"/>
                <w:szCs w:val="20"/>
              </w:rPr>
            </w:pPr>
            <w:r w:rsidRPr="00681130">
              <w:rPr>
                <w:rFonts w:asciiTheme="majorHAnsi" w:eastAsia="Calibri" w:hAnsiTheme="majorHAnsi" w:cstheme="majorHAnsi"/>
                <w:sz w:val="20"/>
                <w:szCs w:val="20"/>
              </w:rPr>
              <w:t>tinf=Time of infusion</w:t>
            </w:r>
          </w:p>
        </w:tc>
      </w:tr>
      <w:tr w:rsidR="00681130" w:rsidRPr="00681130" w14:paraId="17A5D1FA" w14:textId="77777777" w:rsidTr="00681130">
        <w:tc>
          <w:tcPr>
            <w:tcW w:w="2695" w:type="dxa"/>
          </w:tcPr>
          <w:p w14:paraId="6888445B" w14:textId="77777777" w:rsidR="00681130" w:rsidRPr="00681130" w:rsidRDefault="00681130" w:rsidP="00681130">
            <w:pPr>
              <w:pStyle w:val="ListParagraph"/>
              <w:numPr>
                <w:ilvl w:val="0"/>
                <w:numId w:val="18"/>
              </w:numPr>
              <w:rPr>
                <w:rFonts w:asciiTheme="majorHAnsi" w:hAnsiTheme="majorHAnsi" w:cstheme="majorHAnsi"/>
                <w:sz w:val="20"/>
                <w:szCs w:val="20"/>
              </w:rPr>
            </w:pPr>
            <w:r w:rsidRPr="00681130">
              <w:rPr>
                <w:rFonts w:asciiTheme="majorHAnsi" w:hAnsiTheme="majorHAnsi" w:cstheme="majorHAnsi"/>
                <w:sz w:val="20"/>
                <w:szCs w:val="20"/>
              </w:rPr>
              <w:t>Calculate clearance (CL, L/h)</w:t>
            </w:r>
          </w:p>
        </w:tc>
        <w:tc>
          <w:tcPr>
            <w:tcW w:w="4494" w:type="dxa"/>
          </w:tcPr>
          <w:p w14:paraId="4EB35011" w14:textId="77777777" w:rsidR="00681130" w:rsidRPr="00681130" w:rsidRDefault="00681130" w:rsidP="00681130">
            <w:pPr>
              <w:jc w:val="center"/>
              <w:rPr>
                <w:rFonts w:asciiTheme="majorHAnsi" w:eastAsia="Calibri" w:hAnsiTheme="majorHAnsi" w:cstheme="majorHAnsi"/>
                <w:sz w:val="20"/>
                <w:szCs w:val="20"/>
              </w:rPr>
            </w:pPr>
            <m:oMathPara>
              <m:oMath>
                <m:r>
                  <w:rPr>
                    <w:rFonts w:ascii="Cambria Math" w:eastAsia="Times New Roman" w:hAnsi="Cambria Math" w:cstheme="majorHAnsi"/>
                    <w:sz w:val="20"/>
                    <w:szCs w:val="20"/>
                  </w:rPr>
                  <m:t>CL=Vd*Ke</m:t>
                </m:r>
              </m:oMath>
            </m:oMathPara>
          </w:p>
        </w:tc>
        <w:tc>
          <w:tcPr>
            <w:tcW w:w="2161" w:type="dxa"/>
          </w:tcPr>
          <w:p w14:paraId="5013836D" w14:textId="77777777" w:rsidR="00681130" w:rsidRPr="00681130" w:rsidRDefault="00681130" w:rsidP="00681130">
            <w:pPr>
              <w:jc w:val="center"/>
              <w:rPr>
                <w:rFonts w:asciiTheme="majorHAnsi" w:eastAsia="Calibri" w:hAnsiTheme="majorHAnsi" w:cstheme="majorHAnsi"/>
                <w:sz w:val="20"/>
                <w:szCs w:val="20"/>
              </w:rPr>
            </w:pPr>
          </w:p>
        </w:tc>
      </w:tr>
      <w:tr w:rsidR="00681130" w:rsidRPr="00681130" w14:paraId="2443EEF6" w14:textId="77777777" w:rsidTr="00681130">
        <w:tc>
          <w:tcPr>
            <w:tcW w:w="2695" w:type="dxa"/>
          </w:tcPr>
          <w:p w14:paraId="4F753471" w14:textId="77777777" w:rsidR="00681130" w:rsidRPr="00681130" w:rsidRDefault="00681130" w:rsidP="00681130">
            <w:pPr>
              <w:pStyle w:val="ListParagraph"/>
              <w:numPr>
                <w:ilvl w:val="0"/>
                <w:numId w:val="18"/>
              </w:numPr>
              <w:rPr>
                <w:rFonts w:asciiTheme="majorHAnsi" w:hAnsiTheme="majorHAnsi" w:cstheme="majorHAnsi"/>
                <w:sz w:val="20"/>
                <w:szCs w:val="20"/>
              </w:rPr>
            </w:pPr>
            <w:r w:rsidRPr="00681130">
              <w:rPr>
                <w:rFonts w:asciiTheme="majorHAnsi" w:hAnsiTheme="majorHAnsi" w:cstheme="majorHAnsi"/>
                <w:sz w:val="20"/>
                <w:szCs w:val="20"/>
              </w:rPr>
              <w:t>Calculate the Dose</w:t>
            </w:r>
            <w:r w:rsidRPr="00681130">
              <w:rPr>
                <w:rFonts w:asciiTheme="majorHAnsi" w:hAnsiTheme="majorHAnsi" w:cstheme="majorHAnsi"/>
                <w:sz w:val="20"/>
                <w:szCs w:val="20"/>
                <w:vertAlign w:val="subscript"/>
              </w:rPr>
              <w:t xml:space="preserve">24 </w:t>
            </w:r>
            <w:r w:rsidRPr="00681130">
              <w:rPr>
                <w:rFonts w:asciiTheme="majorHAnsi" w:hAnsiTheme="majorHAnsi" w:cstheme="majorHAnsi"/>
                <w:sz w:val="20"/>
                <w:szCs w:val="20"/>
              </w:rPr>
              <w:t>required to achieve target AUC</w:t>
            </w:r>
            <w:r w:rsidRPr="00681130">
              <w:rPr>
                <w:rFonts w:asciiTheme="majorHAnsi" w:hAnsiTheme="majorHAnsi" w:cstheme="majorHAnsi"/>
                <w:sz w:val="20"/>
                <w:szCs w:val="20"/>
                <w:vertAlign w:val="subscript"/>
              </w:rPr>
              <w:t>24</w:t>
            </w:r>
            <w:r w:rsidRPr="00681130">
              <w:rPr>
                <w:rFonts w:asciiTheme="majorHAnsi" w:hAnsiTheme="majorHAnsi" w:cstheme="majorHAnsi"/>
                <w:sz w:val="20"/>
                <w:szCs w:val="20"/>
              </w:rPr>
              <w:t xml:space="preserve"> (mg)</w:t>
            </w:r>
          </w:p>
        </w:tc>
        <w:tc>
          <w:tcPr>
            <w:tcW w:w="4494" w:type="dxa"/>
          </w:tcPr>
          <w:p w14:paraId="5E69BDF9" w14:textId="77777777" w:rsidR="00681130" w:rsidRPr="00681130" w:rsidRDefault="00681130" w:rsidP="00681130">
            <w:pPr>
              <w:jc w:val="center"/>
              <w:rPr>
                <w:rFonts w:asciiTheme="majorHAnsi" w:eastAsia="Calibri" w:hAnsiTheme="majorHAnsi" w:cstheme="majorHAnsi"/>
                <w:sz w:val="20"/>
                <w:szCs w:val="20"/>
              </w:rPr>
            </w:pPr>
            <m:oMathPara>
              <m:oMath>
                <m:r>
                  <w:rPr>
                    <w:rFonts w:ascii="Cambria Math" w:eastAsia="Calibri" w:hAnsi="Cambria Math" w:cstheme="majorHAnsi"/>
                    <w:sz w:val="20"/>
                    <w:szCs w:val="20"/>
                  </w:rPr>
                  <m:t>Dose24= CL*AUC24</m:t>
                </m:r>
              </m:oMath>
            </m:oMathPara>
          </w:p>
        </w:tc>
        <w:tc>
          <w:tcPr>
            <w:tcW w:w="2161" w:type="dxa"/>
          </w:tcPr>
          <w:p w14:paraId="19A9DB04" w14:textId="77777777" w:rsidR="00681130" w:rsidRPr="00681130" w:rsidRDefault="00681130" w:rsidP="00681130">
            <w:pPr>
              <w:jc w:val="center"/>
              <w:rPr>
                <w:rFonts w:asciiTheme="majorHAnsi" w:eastAsia="Calibri" w:hAnsiTheme="majorHAnsi" w:cstheme="majorHAnsi"/>
                <w:sz w:val="20"/>
                <w:szCs w:val="20"/>
              </w:rPr>
            </w:pPr>
          </w:p>
        </w:tc>
      </w:tr>
      <w:tr w:rsidR="00681130" w:rsidRPr="00681130" w14:paraId="04EBBA95" w14:textId="77777777" w:rsidTr="00681130">
        <w:tc>
          <w:tcPr>
            <w:tcW w:w="2695" w:type="dxa"/>
          </w:tcPr>
          <w:p w14:paraId="5D332A48" w14:textId="77777777" w:rsidR="00681130" w:rsidRPr="00681130" w:rsidRDefault="00681130" w:rsidP="00681130">
            <w:pPr>
              <w:pStyle w:val="ListParagraph"/>
              <w:numPr>
                <w:ilvl w:val="0"/>
                <w:numId w:val="18"/>
              </w:numPr>
              <w:rPr>
                <w:rFonts w:asciiTheme="majorHAnsi" w:hAnsiTheme="majorHAnsi" w:cstheme="majorHAnsi"/>
                <w:sz w:val="20"/>
                <w:szCs w:val="20"/>
              </w:rPr>
            </w:pPr>
            <w:r w:rsidRPr="00681130">
              <w:rPr>
                <w:rFonts w:asciiTheme="majorHAnsi" w:hAnsiTheme="majorHAnsi" w:cstheme="majorHAnsi"/>
                <w:sz w:val="20"/>
                <w:szCs w:val="20"/>
              </w:rPr>
              <w:t>Calculate the new Tau (h)</w:t>
            </w:r>
          </w:p>
        </w:tc>
        <w:tc>
          <w:tcPr>
            <w:tcW w:w="4494" w:type="dxa"/>
          </w:tcPr>
          <w:p w14:paraId="0EEA00F9" w14:textId="77777777" w:rsidR="00681130" w:rsidRPr="00681130" w:rsidRDefault="00681130" w:rsidP="00681130">
            <w:pPr>
              <w:jc w:val="center"/>
              <w:rPr>
                <w:rFonts w:asciiTheme="majorHAnsi" w:eastAsia="Calibri" w:hAnsiTheme="majorHAnsi" w:cstheme="majorHAnsi"/>
                <w:sz w:val="20"/>
                <w:szCs w:val="20"/>
              </w:rPr>
            </w:pPr>
            <m:oMathPara>
              <m:oMath>
                <m:r>
                  <w:rPr>
                    <w:rFonts w:ascii="Cambria Math" w:hAnsi="Cambria Math" w:cstheme="majorHAnsi"/>
                    <w:sz w:val="20"/>
                    <w:szCs w:val="20"/>
                  </w:rPr>
                  <m:t xml:space="preserve">Tau= </m:t>
                </m:r>
                <m:f>
                  <m:fPr>
                    <m:ctrlPr>
                      <w:rPr>
                        <w:rFonts w:ascii="Cambria Math" w:hAnsi="Cambria Math" w:cstheme="majorHAnsi"/>
                        <w:i/>
                        <w:sz w:val="20"/>
                        <w:szCs w:val="20"/>
                      </w:rPr>
                    </m:ctrlPr>
                  </m:fPr>
                  <m:num>
                    <m:f>
                      <m:fPr>
                        <m:type m:val="lin"/>
                        <m:ctrlPr>
                          <w:rPr>
                            <w:rFonts w:ascii="Cambria Math" w:hAnsi="Cambria Math" w:cstheme="majorHAnsi"/>
                            <w:i/>
                            <w:sz w:val="20"/>
                            <w:szCs w:val="20"/>
                          </w:rPr>
                        </m:ctrlPr>
                      </m:fPr>
                      <m:num>
                        <m:r>
                          <w:rPr>
                            <w:rFonts w:ascii="Cambria Math" w:eastAsia="Calibri" w:hAnsi="Cambria Math" w:cstheme="majorHAnsi"/>
                            <w:sz w:val="20"/>
                            <w:szCs w:val="20"/>
                          </w:rPr>
                          <m:t>ln</m:t>
                        </m:r>
                        <m:r>
                          <w:rPr>
                            <w:rFonts w:ascii="Cambria Math" w:hAnsi="Cambria Math" w:cstheme="majorHAnsi"/>
                            <w:sz w:val="20"/>
                            <w:szCs w:val="20"/>
                          </w:rPr>
                          <m:t>(Cmax,desired</m:t>
                        </m:r>
                      </m:num>
                      <m:den>
                        <m:r>
                          <w:rPr>
                            <w:rFonts w:ascii="Cambria Math" w:hAnsi="Cambria Math" w:cstheme="majorHAnsi"/>
                            <w:sz w:val="20"/>
                            <w:szCs w:val="20"/>
                          </w:rPr>
                          <m:t>Ctr,desired)</m:t>
                        </m:r>
                      </m:den>
                    </m:f>
                  </m:num>
                  <m:den>
                    <m:r>
                      <w:rPr>
                        <w:rFonts w:ascii="Cambria Math" w:hAnsi="Cambria Math" w:cstheme="majorHAnsi"/>
                        <w:sz w:val="20"/>
                        <w:szCs w:val="20"/>
                      </w:rPr>
                      <m:t>Ke</m:t>
                    </m:r>
                  </m:den>
                </m:f>
                <m:r>
                  <w:rPr>
                    <w:rFonts w:ascii="Cambria Math" w:hAnsi="Cambria Math" w:cstheme="majorHAnsi"/>
                    <w:sz w:val="20"/>
                    <w:szCs w:val="20"/>
                  </w:rPr>
                  <m:t>+tinf</m:t>
                </m:r>
              </m:oMath>
            </m:oMathPara>
          </w:p>
          <w:p w14:paraId="42340AC0" w14:textId="77777777" w:rsidR="00681130" w:rsidRPr="00681130" w:rsidRDefault="00681130" w:rsidP="00681130">
            <w:pPr>
              <w:jc w:val="center"/>
              <w:rPr>
                <w:rFonts w:asciiTheme="majorHAnsi" w:eastAsia="Calibri" w:hAnsiTheme="majorHAnsi" w:cstheme="majorHAnsi"/>
                <w:sz w:val="20"/>
                <w:szCs w:val="20"/>
              </w:rPr>
            </w:pPr>
          </w:p>
        </w:tc>
        <w:tc>
          <w:tcPr>
            <w:tcW w:w="2161" w:type="dxa"/>
          </w:tcPr>
          <w:p w14:paraId="618D4DBA" w14:textId="77777777" w:rsidR="00681130" w:rsidRPr="00681130" w:rsidRDefault="00681130" w:rsidP="00681130">
            <w:pPr>
              <w:jc w:val="center"/>
              <w:rPr>
                <w:rFonts w:asciiTheme="majorHAnsi" w:eastAsia="Calibri" w:hAnsiTheme="majorHAnsi" w:cstheme="majorHAnsi"/>
                <w:sz w:val="20"/>
                <w:szCs w:val="20"/>
              </w:rPr>
            </w:pPr>
          </w:p>
        </w:tc>
      </w:tr>
      <w:tr w:rsidR="00681130" w:rsidRPr="00681130" w14:paraId="25A4E8A5" w14:textId="77777777" w:rsidTr="00681130">
        <w:tc>
          <w:tcPr>
            <w:tcW w:w="2695" w:type="dxa"/>
          </w:tcPr>
          <w:p w14:paraId="626189B8" w14:textId="77777777" w:rsidR="00681130" w:rsidRPr="00681130" w:rsidRDefault="00681130" w:rsidP="00681130">
            <w:pPr>
              <w:pStyle w:val="ListParagraph"/>
              <w:numPr>
                <w:ilvl w:val="0"/>
                <w:numId w:val="18"/>
              </w:numPr>
              <w:rPr>
                <w:rFonts w:asciiTheme="majorHAnsi" w:hAnsiTheme="majorHAnsi" w:cstheme="majorHAnsi"/>
                <w:sz w:val="20"/>
                <w:szCs w:val="20"/>
              </w:rPr>
            </w:pPr>
            <w:r w:rsidRPr="00681130">
              <w:rPr>
                <w:rFonts w:asciiTheme="majorHAnsi" w:hAnsiTheme="majorHAnsi" w:cstheme="majorHAnsi"/>
                <w:sz w:val="20"/>
                <w:szCs w:val="20"/>
              </w:rPr>
              <w:t>Calculate new MD (mg)</w:t>
            </w:r>
          </w:p>
        </w:tc>
        <w:tc>
          <w:tcPr>
            <w:tcW w:w="4494" w:type="dxa"/>
          </w:tcPr>
          <w:p w14:paraId="52ED3C66" w14:textId="77777777" w:rsidR="00681130" w:rsidRPr="00681130" w:rsidRDefault="00681130" w:rsidP="00681130">
            <w:pPr>
              <w:jc w:val="center"/>
              <w:rPr>
                <w:rFonts w:asciiTheme="majorHAnsi" w:eastAsia="Calibri" w:hAnsiTheme="majorHAnsi" w:cstheme="majorHAnsi"/>
                <w:sz w:val="20"/>
                <w:szCs w:val="20"/>
              </w:rPr>
            </w:pPr>
            <m:oMathPara>
              <m:oMath>
                <m:r>
                  <w:rPr>
                    <w:rFonts w:ascii="Cambria Math" w:eastAsia="Times New Roman" w:hAnsi="Cambria Math" w:cstheme="majorHAnsi"/>
                    <w:sz w:val="20"/>
                    <w:szCs w:val="20"/>
                  </w:rPr>
                  <m:t>MD=</m:t>
                </m:r>
                <m:f>
                  <m:fPr>
                    <m:ctrlPr>
                      <w:rPr>
                        <w:rFonts w:ascii="Cambria Math" w:eastAsia="Times New Roman" w:hAnsi="Cambria Math" w:cstheme="majorHAnsi"/>
                        <w:i/>
                        <w:sz w:val="20"/>
                        <w:szCs w:val="20"/>
                      </w:rPr>
                    </m:ctrlPr>
                  </m:fPr>
                  <m:num>
                    <m:r>
                      <w:rPr>
                        <w:rFonts w:ascii="Cambria Math" w:eastAsia="Times New Roman" w:hAnsi="Cambria Math" w:cstheme="majorHAnsi"/>
                        <w:sz w:val="20"/>
                        <w:szCs w:val="20"/>
                      </w:rPr>
                      <m:t>Dose24</m:t>
                    </m:r>
                  </m:num>
                  <m:den>
                    <m:f>
                      <m:fPr>
                        <m:type m:val="lin"/>
                        <m:ctrlPr>
                          <w:rPr>
                            <w:rFonts w:ascii="Cambria Math" w:eastAsia="Times New Roman" w:hAnsi="Cambria Math" w:cstheme="majorHAnsi"/>
                            <w:i/>
                            <w:sz w:val="20"/>
                            <w:szCs w:val="20"/>
                          </w:rPr>
                        </m:ctrlPr>
                      </m:fPr>
                      <m:num>
                        <m:r>
                          <w:rPr>
                            <w:rFonts w:ascii="Cambria Math" w:eastAsia="Times New Roman" w:hAnsi="Cambria Math" w:cstheme="majorHAnsi"/>
                            <w:sz w:val="20"/>
                            <w:szCs w:val="20"/>
                          </w:rPr>
                          <m:t>24</m:t>
                        </m:r>
                      </m:num>
                      <m:den>
                        <m:r>
                          <w:rPr>
                            <w:rFonts w:ascii="Cambria Math" w:eastAsia="Times New Roman" w:hAnsi="Cambria Math" w:cstheme="majorHAnsi"/>
                            <w:sz w:val="20"/>
                            <w:szCs w:val="20"/>
                          </w:rPr>
                          <m:t>Tau</m:t>
                        </m:r>
                      </m:den>
                    </m:f>
                  </m:den>
                </m:f>
              </m:oMath>
            </m:oMathPara>
          </w:p>
        </w:tc>
        <w:tc>
          <w:tcPr>
            <w:tcW w:w="2161" w:type="dxa"/>
          </w:tcPr>
          <w:p w14:paraId="7232E5C0" w14:textId="77777777" w:rsidR="00681130" w:rsidRPr="00681130" w:rsidRDefault="00681130" w:rsidP="00681130">
            <w:pPr>
              <w:jc w:val="center"/>
              <w:rPr>
                <w:rFonts w:asciiTheme="majorHAnsi" w:eastAsia="Calibri" w:hAnsiTheme="majorHAnsi" w:cstheme="majorHAnsi"/>
                <w:sz w:val="20"/>
                <w:szCs w:val="20"/>
              </w:rPr>
            </w:pPr>
            <w:r w:rsidRPr="00681130">
              <w:rPr>
                <w:rFonts w:asciiTheme="majorHAnsi" w:eastAsia="Calibri" w:hAnsiTheme="majorHAnsi" w:cstheme="majorHAnsi"/>
                <w:sz w:val="20"/>
                <w:szCs w:val="20"/>
              </w:rPr>
              <w:t>MD=Maintenance dose</w:t>
            </w:r>
          </w:p>
        </w:tc>
      </w:tr>
      <w:tr w:rsidR="00681130" w:rsidRPr="00681130" w14:paraId="120C205D" w14:textId="77777777" w:rsidTr="00681130">
        <w:tc>
          <w:tcPr>
            <w:tcW w:w="2695" w:type="dxa"/>
          </w:tcPr>
          <w:p w14:paraId="427DB904" w14:textId="77777777" w:rsidR="00681130" w:rsidRPr="00681130" w:rsidRDefault="00681130" w:rsidP="00681130">
            <w:pPr>
              <w:pStyle w:val="ListParagraph"/>
              <w:numPr>
                <w:ilvl w:val="0"/>
                <w:numId w:val="18"/>
              </w:numPr>
              <w:rPr>
                <w:rFonts w:asciiTheme="majorHAnsi" w:hAnsiTheme="majorHAnsi" w:cstheme="majorHAnsi"/>
                <w:sz w:val="20"/>
                <w:szCs w:val="20"/>
              </w:rPr>
            </w:pPr>
            <w:r w:rsidRPr="00681130">
              <w:rPr>
                <w:rFonts w:asciiTheme="majorHAnsi" w:hAnsiTheme="majorHAnsi" w:cstheme="majorHAnsi"/>
                <w:sz w:val="20"/>
                <w:szCs w:val="20"/>
              </w:rPr>
              <w:t>Estimate new AUC</w:t>
            </w:r>
            <w:r w:rsidRPr="00681130">
              <w:rPr>
                <w:rFonts w:asciiTheme="majorHAnsi" w:hAnsiTheme="majorHAnsi" w:cstheme="majorHAnsi"/>
                <w:sz w:val="20"/>
                <w:szCs w:val="20"/>
                <w:vertAlign w:val="subscript"/>
              </w:rPr>
              <w:t>24</w:t>
            </w:r>
            <w:r w:rsidRPr="00681130">
              <w:rPr>
                <w:rFonts w:asciiTheme="majorHAnsi" w:hAnsiTheme="majorHAnsi" w:cstheme="majorHAnsi"/>
                <w:sz w:val="20"/>
                <w:szCs w:val="20"/>
              </w:rPr>
              <w:t xml:space="preserve"> (mg*h/L)</w:t>
            </w:r>
          </w:p>
        </w:tc>
        <w:tc>
          <w:tcPr>
            <w:tcW w:w="4494" w:type="dxa"/>
          </w:tcPr>
          <w:p w14:paraId="6C2F9555" w14:textId="77777777" w:rsidR="00681130" w:rsidRPr="00681130" w:rsidRDefault="00681130" w:rsidP="00681130">
            <w:pPr>
              <w:jc w:val="center"/>
              <w:rPr>
                <w:rFonts w:asciiTheme="majorHAnsi" w:eastAsiaTheme="minorEastAsia" w:hAnsiTheme="majorHAnsi" w:cstheme="majorHAnsi"/>
                <w:sz w:val="20"/>
                <w:szCs w:val="20"/>
              </w:rPr>
            </w:pPr>
            <m:oMathPara>
              <m:oMath>
                <m:r>
                  <w:rPr>
                    <w:rFonts w:ascii="Cambria Math" w:eastAsia="Calibri" w:hAnsi="Cambria Math" w:cstheme="majorHAnsi"/>
                    <w:sz w:val="20"/>
                    <w:szCs w:val="20"/>
                  </w:rPr>
                  <m:t>AUC24=(</m:t>
                </m:r>
                <m:f>
                  <m:fPr>
                    <m:type m:val="lin"/>
                    <m:ctrlPr>
                      <w:rPr>
                        <w:rFonts w:ascii="Cambria Math" w:eastAsia="Calibri" w:hAnsi="Cambria Math" w:cstheme="majorHAnsi"/>
                        <w:i/>
                        <w:sz w:val="20"/>
                        <w:szCs w:val="20"/>
                      </w:rPr>
                    </m:ctrlPr>
                  </m:fPr>
                  <m:num>
                    <m:r>
                      <w:rPr>
                        <w:rFonts w:ascii="Cambria Math" w:eastAsia="Calibri" w:hAnsi="Cambria Math" w:cstheme="majorHAnsi"/>
                        <w:sz w:val="20"/>
                        <w:szCs w:val="20"/>
                      </w:rPr>
                      <m:t>MD</m:t>
                    </m:r>
                  </m:num>
                  <m:den>
                    <m:r>
                      <w:rPr>
                        <w:rFonts w:ascii="Cambria Math" w:eastAsia="Calibri" w:hAnsi="Cambria Math" w:cstheme="majorHAnsi"/>
                        <w:sz w:val="20"/>
                        <w:szCs w:val="20"/>
                      </w:rPr>
                      <m:t>(Ke*Vd))*(24/Tau)</m:t>
                    </m:r>
                  </m:den>
                </m:f>
              </m:oMath>
            </m:oMathPara>
          </w:p>
          <w:p w14:paraId="7880D7A2" w14:textId="77777777" w:rsidR="00681130" w:rsidRPr="00681130" w:rsidRDefault="00681130" w:rsidP="00681130">
            <w:pPr>
              <w:jc w:val="center"/>
              <w:rPr>
                <w:rFonts w:asciiTheme="majorHAnsi" w:eastAsiaTheme="minorEastAsia" w:hAnsiTheme="majorHAnsi" w:cstheme="majorHAnsi"/>
                <w:sz w:val="20"/>
                <w:szCs w:val="20"/>
              </w:rPr>
            </w:pPr>
            <w:r w:rsidRPr="00681130">
              <w:rPr>
                <w:rFonts w:asciiTheme="majorHAnsi" w:eastAsiaTheme="minorEastAsia" w:hAnsiTheme="majorHAnsi" w:cstheme="majorHAnsi"/>
                <w:sz w:val="20"/>
                <w:szCs w:val="20"/>
              </w:rPr>
              <w:t>OR</w:t>
            </w:r>
          </w:p>
          <w:p w14:paraId="01DD6880" w14:textId="77777777" w:rsidR="00681130" w:rsidRPr="00681130" w:rsidRDefault="00681130" w:rsidP="00681130">
            <w:pPr>
              <w:jc w:val="center"/>
              <w:rPr>
                <w:rFonts w:asciiTheme="majorHAnsi" w:eastAsia="Calibri" w:hAnsiTheme="majorHAnsi" w:cstheme="majorHAnsi"/>
                <w:sz w:val="20"/>
                <w:szCs w:val="20"/>
              </w:rPr>
            </w:pPr>
            <m:oMathPara>
              <m:oMath>
                <m:r>
                  <w:rPr>
                    <w:rFonts w:ascii="Cambria Math" w:eastAsia="Calibri" w:hAnsi="Cambria Math" w:cstheme="majorHAnsi"/>
                    <w:sz w:val="20"/>
                    <w:szCs w:val="20"/>
                  </w:rPr>
                  <m:t xml:space="preserve">AUCinf= </m:t>
                </m:r>
                <m:f>
                  <m:fPr>
                    <m:ctrlPr>
                      <w:rPr>
                        <w:rFonts w:ascii="Cambria Math" w:eastAsia="Calibri" w:hAnsi="Cambria Math" w:cstheme="majorHAnsi"/>
                        <w:i/>
                        <w:sz w:val="20"/>
                        <w:szCs w:val="20"/>
                      </w:rPr>
                    </m:ctrlPr>
                  </m:fPr>
                  <m:num>
                    <m:r>
                      <w:rPr>
                        <w:rFonts w:ascii="Cambria Math" w:eastAsia="Calibri" w:hAnsi="Cambria Math" w:cstheme="majorHAnsi"/>
                        <w:sz w:val="20"/>
                        <w:szCs w:val="20"/>
                      </w:rPr>
                      <m:t>(Cmax+Cmin)</m:t>
                    </m:r>
                  </m:num>
                  <m:den>
                    <m:r>
                      <w:rPr>
                        <w:rFonts w:ascii="Cambria Math" w:eastAsia="Calibri" w:hAnsi="Cambria Math" w:cstheme="majorHAnsi"/>
                        <w:sz w:val="20"/>
                        <w:szCs w:val="20"/>
                      </w:rPr>
                      <m:t>2</m:t>
                    </m:r>
                  </m:den>
                </m:f>
                <m:r>
                  <w:rPr>
                    <w:rFonts w:ascii="Cambria Math" w:eastAsia="Calibri" w:hAnsi="Cambria Math" w:cstheme="majorHAnsi"/>
                    <w:sz w:val="20"/>
                    <w:szCs w:val="20"/>
                  </w:rPr>
                  <m:t>*tinf</m:t>
                </m:r>
              </m:oMath>
            </m:oMathPara>
          </w:p>
          <w:p w14:paraId="25FEB9B6" w14:textId="77777777" w:rsidR="00681130" w:rsidRPr="00681130" w:rsidRDefault="00681130" w:rsidP="00681130">
            <w:pPr>
              <w:jc w:val="center"/>
              <w:rPr>
                <w:rFonts w:asciiTheme="majorHAnsi" w:eastAsia="Calibri" w:hAnsiTheme="majorHAnsi" w:cstheme="majorHAnsi"/>
                <w:sz w:val="20"/>
                <w:szCs w:val="20"/>
              </w:rPr>
            </w:pPr>
            <m:oMathPara>
              <m:oMath>
                <m:r>
                  <w:rPr>
                    <w:rFonts w:ascii="Cambria Math" w:eastAsia="Calibri" w:hAnsi="Cambria Math" w:cstheme="majorHAnsi"/>
                    <w:sz w:val="20"/>
                    <w:szCs w:val="20"/>
                  </w:rPr>
                  <m:t xml:space="preserve">AUCelim= </m:t>
                </m:r>
                <m:f>
                  <m:fPr>
                    <m:ctrlPr>
                      <w:rPr>
                        <w:rFonts w:ascii="Cambria Math" w:eastAsia="Calibri" w:hAnsi="Cambria Math" w:cstheme="majorHAnsi"/>
                        <w:i/>
                        <w:sz w:val="20"/>
                        <w:szCs w:val="20"/>
                      </w:rPr>
                    </m:ctrlPr>
                  </m:fPr>
                  <m:num>
                    <m:r>
                      <w:rPr>
                        <w:rFonts w:ascii="Cambria Math" w:eastAsia="Calibri" w:hAnsi="Cambria Math" w:cstheme="majorHAnsi"/>
                        <w:sz w:val="20"/>
                        <w:szCs w:val="20"/>
                      </w:rPr>
                      <m:t>(Cmax-Cmin)</m:t>
                    </m:r>
                  </m:num>
                  <m:den>
                    <m:r>
                      <w:rPr>
                        <w:rFonts w:ascii="Cambria Math" w:eastAsia="Calibri" w:hAnsi="Cambria Math" w:cstheme="majorHAnsi"/>
                        <w:sz w:val="20"/>
                        <w:szCs w:val="20"/>
                      </w:rPr>
                      <m:t>Ke</m:t>
                    </m:r>
                  </m:den>
                </m:f>
              </m:oMath>
            </m:oMathPara>
          </w:p>
          <w:p w14:paraId="38275256" w14:textId="77777777" w:rsidR="00681130" w:rsidRPr="00681130" w:rsidRDefault="00681130" w:rsidP="00681130">
            <w:pPr>
              <w:jc w:val="center"/>
              <w:rPr>
                <w:rFonts w:asciiTheme="majorHAnsi" w:eastAsia="Calibri" w:hAnsiTheme="majorHAnsi" w:cstheme="majorHAnsi"/>
                <w:sz w:val="20"/>
                <w:szCs w:val="20"/>
              </w:rPr>
            </w:pPr>
            <m:oMathPara>
              <m:oMath>
                <m:r>
                  <w:rPr>
                    <w:rFonts w:ascii="Cambria Math" w:eastAsia="Calibri" w:hAnsi="Cambria Math" w:cstheme="majorHAnsi"/>
                    <w:sz w:val="20"/>
                    <w:szCs w:val="20"/>
                  </w:rPr>
                  <m:t>AUC24=</m:t>
                </m:r>
                <m:d>
                  <m:dPr>
                    <m:ctrlPr>
                      <w:rPr>
                        <w:rFonts w:ascii="Cambria Math" w:eastAsia="Calibri" w:hAnsi="Cambria Math" w:cstheme="majorHAnsi"/>
                        <w:i/>
                        <w:sz w:val="20"/>
                        <w:szCs w:val="20"/>
                      </w:rPr>
                    </m:ctrlPr>
                  </m:dPr>
                  <m:e>
                    <m:r>
                      <w:rPr>
                        <w:rFonts w:ascii="Cambria Math" w:eastAsia="Calibri" w:hAnsi="Cambria Math" w:cstheme="majorHAnsi"/>
                        <w:sz w:val="20"/>
                        <w:szCs w:val="20"/>
                      </w:rPr>
                      <m:t>AUCinf+AUCelim</m:t>
                    </m:r>
                  </m:e>
                </m:d>
                <m:r>
                  <w:rPr>
                    <w:rFonts w:ascii="Cambria Math" w:eastAsia="Calibri" w:hAnsi="Cambria Math" w:cstheme="majorHAnsi"/>
                    <w:sz w:val="20"/>
                    <w:szCs w:val="20"/>
                  </w:rPr>
                  <m:t>*(</m:t>
                </m:r>
                <m:f>
                  <m:fPr>
                    <m:ctrlPr>
                      <w:rPr>
                        <w:rFonts w:ascii="Cambria Math" w:eastAsia="Calibri" w:hAnsi="Cambria Math" w:cstheme="majorHAnsi"/>
                        <w:i/>
                        <w:sz w:val="20"/>
                        <w:szCs w:val="20"/>
                      </w:rPr>
                    </m:ctrlPr>
                  </m:fPr>
                  <m:num>
                    <m:r>
                      <w:rPr>
                        <w:rFonts w:ascii="Cambria Math" w:eastAsia="Calibri" w:hAnsi="Cambria Math" w:cstheme="majorHAnsi"/>
                        <w:sz w:val="20"/>
                        <w:szCs w:val="20"/>
                      </w:rPr>
                      <m:t>24</m:t>
                    </m:r>
                  </m:num>
                  <m:den>
                    <m:r>
                      <w:rPr>
                        <w:rFonts w:ascii="Cambria Math" w:eastAsia="Calibri" w:hAnsi="Cambria Math" w:cstheme="majorHAnsi"/>
                        <w:sz w:val="20"/>
                        <w:szCs w:val="20"/>
                      </w:rPr>
                      <m:t>Tau</m:t>
                    </m:r>
                  </m:den>
                </m:f>
                <m:r>
                  <w:rPr>
                    <w:rFonts w:ascii="Cambria Math" w:eastAsia="Calibri" w:hAnsi="Cambria Math" w:cstheme="majorHAnsi"/>
                    <w:sz w:val="20"/>
                    <w:szCs w:val="20"/>
                  </w:rPr>
                  <m:t>)</m:t>
                </m:r>
              </m:oMath>
            </m:oMathPara>
          </w:p>
        </w:tc>
        <w:tc>
          <w:tcPr>
            <w:tcW w:w="2161" w:type="dxa"/>
          </w:tcPr>
          <w:p w14:paraId="578E8834" w14:textId="77777777" w:rsidR="00681130" w:rsidRPr="00681130" w:rsidRDefault="00681130" w:rsidP="00681130">
            <w:pPr>
              <w:jc w:val="center"/>
              <w:rPr>
                <w:rFonts w:asciiTheme="majorHAnsi" w:eastAsia="Calibri" w:hAnsiTheme="majorHAnsi" w:cstheme="majorHAnsi"/>
                <w:sz w:val="20"/>
                <w:szCs w:val="20"/>
              </w:rPr>
            </w:pPr>
          </w:p>
        </w:tc>
      </w:tr>
    </w:tbl>
    <w:p w14:paraId="764251B8" w14:textId="77777777" w:rsidR="00681130" w:rsidRPr="00681130" w:rsidRDefault="00681130" w:rsidP="00681130">
      <w:pPr>
        <w:spacing w:line="240" w:lineRule="auto"/>
        <w:rPr>
          <w:rFonts w:asciiTheme="majorHAnsi" w:hAnsiTheme="majorHAnsi" w:cstheme="majorHAnsi"/>
          <w:sz w:val="20"/>
          <w:szCs w:val="20"/>
        </w:rPr>
      </w:pPr>
    </w:p>
    <w:p w14:paraId="6945FA0D" w14:textId="77777777" w:rsidR="00681130" w:rsidRPr="00681130" w:rsidRDefault="00681130" w:rsidP="00681130">
      <w:pPr>
        <w:spacing w:line="240" w:lineRule="auto"/>
        <w:rPr>
          <w:rFonts w:asciiTheme="majorHAnsi" w:hAnsiTheme="majorHAnsi" w:cstheme="majorHAnsi"/>
        </w:rPr>
      </w:pPr>
    </w:p>
    <w:p w14:paraId="4675BC5D" w14:textId="77777777" w:rsidR="00681130" w:rsidRDefault="00681130" w:rsidP="00681130">
      <w:pPr>
        <w:spacing w:line="240" w:lineRule="auto"/>
      </w:pPr>
    </w:p>
    <w:p w14:paraId="7CE1A481" w14:textId="77777777" w:rsidR="00681130" w:rsidRPr="005F3EFC" w:rsidRDefault="00681130" w:rsidP="00681130">
      <w:pPr>
        <w:ind w:left="1440"/>
        <w:rPr>
          <w:rFonts w:asciiTheme="majorHAnsi" w:hAnsiTheme="majorHAnsi" w:cstheme="majorHAnsi"/>
        </w:rPr>
      </w:pPr>
    </w:p>
    <w:p w14:paraId="57400C3A" w14:textId="77777777" w:rsidR="002A324C" w:rsidRPr="005F3EFC" w:rsidRDefault="002A324C">
      <w:pPr>
        <w:rPr>
          <w:rFonts w:asciiTheme="majorHAnsi" w:hAnsiTheme="majorHAnsi" w:cstheme="majorHAnsi"/>
        </w:rPr>
      </w:pPr>
    </w:p>
    <w:p w14:paraId="4F2201F5" w14:textId="77777777" w:rsidR="002A324C" w:rsidRPr="005F3EFC" w:rsidRDefault="002A324C">
      <w:pPr>
        <w:rPr>
          <w:rFonts w:asciiTheme="majorHAnsi" w:hAnsiTheme="majorHAnsi" w:cstheme="majorHAnsi"/>
        </w:rPr>
      </w:pPr>
    </w:p>
    <w:p w14:paraId="66B1FBA1" w14:textId="77777777" w:rsidR="002A324C" w:rsidRPr="005F3EFC" w:rsidRDefault="002A324C">
      <w:pPr>
        <w:rPr>
          <w:rFonts w:asciiTheme="majorHAnsi" w:hAnsiTheme="majorHAnsi" w:cstheme="majorHAnsi"/>
        </w:rPr>
      </w:pPr>
    </w:p>
    <w:p w14:paraId="550F3158" w14:textId="77777777" w:rsidR="002A324C" w:rsidRPr="005F3EFC" w:rsidRDefault="002A324C">
      <w:pPr>
        <w:rPr>
          <w:rFonts w:asciiTheme="majorHAnsi" w:hAnsiTheme="majorHAnsi" w:cstheme="majorHAnsi"/>
        </w:rPr>
      </w:pPr>
    </w:p>
    <w:p w14:paraId="360ED228" w14:textId="25924D87" w:rsidR="002A324C" w:rsidRPr="005F3EFC" w:rsidRDefault="002A324C">
      <w:pPr>
        <w:rPr>
          <w:rFonts w:asciiTheme="majorHAnsi" w:hAnsiTheme="majorHAnsi" w:cstheme="majorHAnsi"/>
        </w:rPr>
      </w:pPr>
    </w:p>
    <w:sectPr w:rsidR="002A324C" w:rsidRPr="005F3EFC" w:rsidSect="00F5621F">
      <w:footerReference w:type="default" r:id="rId11"/>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B00C5" w14:textId="77777777" w:rsidR="00F5621F" w:rsidRDefault="00F5621F" w:rsidP="00F74B49">
      <w:pPr>
        <w:spacing w:line="240" w:lineRule="auto"/>
      </w:pPr>
      <w:r>
        <w:separator/>
      </w:r>
    </w:p>
  </w:endnote>
  <w:endnote w:type="continuationSeparator" w:id="0">
    <w:p w14:paraId="7B47C336" w14:textId="77777777" w:rsidR="00F5621F" w:rsidRDefault="00F5621F" w:rsidP="00F74B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5CB9" w14:textId="2F1547DD" w:rsidR="002B3F15" w:rsidRPr="00F74B49" w:rsidRDefault="002B3F15" w:rsidP="00F74B49">
    <w:pPr>
      <w:rPr>
        <w:rFonts w:asciiTheme="majorHAnsi" w:hAnsiTheme="majorHAnsi" w:cstheme="majorHAnsi"/>
        <w:sz w:val="12"/>
        <w:szCs w:val="12"/>
      </w:rPr>
    </w:pPr>
    <w:r w:rsidRPr="00F74B49">
      <w:rPr>
        <w:rFonts w:asciiTheme="majorHAnsi" w:hAnsiTheme="majorHAnsi" w:cstheme="majorHAnsi"/>
        <w:b/>
        <w:sz w:val="12"/>
        <w:szCs w:val="12"/>
      </w:rPr>
      <w:t>Disclaimer:</w:t>
    </w:r>
    <w:r w:rsidRPr="00F74B49">
      <w:rPr>
        <w:rFonts w:asciiTheme="majorHAnsi" w:hAnsiTheme="majorHAnsi" w:cstheme="majorHAnsi"/>
        <w:sz w:val="12"/>
        <w:szCs w:val="12"/>
      </w:rPr>
      <w:t xml:space="preserve"> </w:t>
    </w:r>
    <w:r w:rsidR="005B257B" w:rsidRPr="005B257B">
      <w:rPr>
        <w:rFonts w:asciiTheme="majorHAnsi" w:hAnsiTheme="majorHAnsi" w:cstheme="majorHAnsi"/>
        <w:sz w:val="12"/>
        <w:szCs w:val="12"/>
        <w:shd w:val="clear" w:color="auto" w:fill="FAF8F7"/>
      </w:rPr>
      <w:t>Use of SIDP guidelines and/or toolkits are intended as recommendations.  Use does not supersede clinical judgment based on the assessment of an individual patient by an individual practitioner.  The recommendations reflect the best available evidence at the time of publication and are not the sole resource for patient care management and/or an exclusive source of action</w:t>
    </w:r>
    <w:r w:rsidR="005B257B" w:rsidRPr="005B257B">
      <w:rPr>
        <w:rFonts w:asciiTheme="majorHAnsi" w:hAnsiTheme="majorHAnsi" w:cstheme="majorHAnsi"/>
        <w:sz w:val="12"/>
        <w:szCs w:val="12"/>
      </w:rPr>
      <w:t>. Recommendations should be tailored to the local institution. Institution-specific considerations will be highlighted throughout. Last updated February 1, 2021.</w:t>
    </w:r>
  </w:p>
  <w:p w14:paraId="2A3E6885" w14:textId="206F34B7" w:rsidR="002B3F15" w:rsidRDefault="002B3F15">
    <w:pPr>
      <w:pStyle w:val="Footer"/>
    </w:pPr>
  </w:p>
  <w:p w14:paraId="37D1874A" w14:textId="77777777" w:rsidR="002B3F15" w:rsidRDefault="002B3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D727E" w14:textId="77777777" w:rsidR="00F5621F" w:rsidRDefault="00F5621F" w:rsidP="00F74B49">
      <w:pPr>
        <w:spacing w:line="240" w:lineRule="auto"/>
      </w:pPr>
      <w:r>
        <w:separator/>
      </w:r>
    </w:p>
  </w:footnote>
  <w:footnote w:type="continuationSeparator" w:id="0">
    <w:p w14:paraId="33F4863C" w14:textId="77777777" w:rsidR="00F5621F" w:rsidRDefault="00F5621F" w:rsidP="00F74B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7F9E"/>
    <w:multiLevelType w:val="hybridMultilevel"/>
    <w:tmpl w:val="519A134A"/>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 w15:restartNumberingAfterBreak="0">
    <w:nsid w:val="0DE120D6"/>
    <w:multiLevelType w:val="multilevel"/>
    <w:tmpl w:val="F91C2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8543CF"/>
    <w:multiLevelType w:val="hybridMultilevel"/>
    <w:tmpl w:val="1902B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E43A8B"/>
    <w:multiLevelType w:val="multilevel"/>
    <w:tmpl w:val="29C82138"/>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4" w15:restartNumberingAfterBreak="0">
    <w:nsid w:val="150D4977"/>
    <w:multiLevelType w:val="hybridMultilevel"/>
    <w:tmpl w:val="3EC2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7106A"/>
    <w:multiLevelType w:val="hybridMultilevel"/>
    <w:tmpl w:val="633A1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A7F13"/>
    <w:multiLevelType w:val="hybridMultilevel"/>
    <w:tmpl w:val="3160A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A1507"/>
    <w:multiLevelType w:val="multilevel"/>
    <w:tmpl w:val="A6800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1717FB"/>
    <w:multiLevelType w:val="hybridMultilevel"/>
    <w:tmpl w:val="D36C5D44"/>
    <w:lvl w:ilvl="0" w:tplc="9F028C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6702A"/>
    <w:multiLevelType w:val="hybridMultilevel"/>
    <w:tmpl w:val="8FD2E2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0F0088"/>
    <w:multiLevelType w:val="hybridMultilevel"/>
    <w:tmpl w:val="633A1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A034B"/>
    <w:multiLevelType w:val="hybridMultilevel"/>
    <w:tmpl w:val="633A1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D25E6"/>
    <w:multiLevelType w:val="hybridMultilevel"/>
    <w:tmpl w:val="4B989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2F1905"/>
    <w:multiLevelType w:val="hybridMultilevel"/>
    <w:tmpl w:val="0BF6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61748"/>
    <w:multiLevelType w:val="hybridMultilevel"/>
    <w:tmpl w:val="633A1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510A5"/>
    <w:multiLevelType w:val="multilevel"/>
    <w:tmpl w:val="61A0B3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5D4C63BE"/>
    <w:multiLevelType w:val="hybridMultilevel"/>
    <w:tmpl w:val="73E48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6166C"/>
    <w:multiLevelType w:val="hybridMultilevel"/>
    <w:tmpl w:val="DD04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B34E2"/>
    <w:multiLevelType w:val="multilevel"/>
    <w:tmpl w:val="11CE7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F706FED"/>
    <w:multiLevelType w:val="multilevel"/>
    <w:tmpl w:val="6BAC31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0110590"/>
    <w:multiLevelType w:val="hybridMultilevel"/>
    <w:tmpl w:val="34F2A8B2"/>
    <w:lvl w:ilvl="0" w:tplc="07746C3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B07353"/>
    <w:multiLevelType w:val="multilevel"/>
    <w:tmpl w:val="0D0A73A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1271623001">
    <w:abstractNumId w:val="18"/>
  </w:num>
  <w:num w:numId="2" w16cid:durableId="186450943">
    <w:abstractNumId w:val="1"/>
  </w:num>
  <w:num w:numId="3" w16cid:durableId="1501237441">
    <w:abstractNumId w:val="21"/>
  </w:num>
  <w:num w:numId="4" w16cid:durableId="907543059">
    <w:abstractNumId w:val="7"/>
  </w:num>
  <w:num w:numId="5" w16cid:durableId="1839153039">
    <w:abstractNumId w:val="15"/>
  </w:num>
  <w:num w:numId="6" w16cid:durableId="1332756060">
    <w:abstractNumId w:val="3"/>
  </w:num>
  <w:num w:numId="7" w16cid:durableId="600839618">
    <w:abstractNumId w:val="19"/>
  </w:num>
  <w:num w:numId="8" w16cid:durableId="1900245002">
    <w:abstractNumId w:val="16"/>
  </w:num>
  <w:num w:numId="9" w16cid:durableId="1735544024">
    <w:abstractNumId w:val="12"/>
  </w:num>
  <w:num w:numId="10" w16cid:durableId="1695308354">
    <w:abstractNumId w:val="6"/>
  </w:num>
  <w:num w:numId="11" w16cid:durableId="1053845972">
    <w:abstractNumId w:val="20"/>
  </w:num>
  <w:num w:numId="12" w16cid:durableId="870997023">
    <w:abstractNumId w:val="13"/>
  </w:num>
  <w:num w:numId="13" w16cid:durableId="1946501276">
    <w:abstractNumId w:val="4"/>
  </w:num>
  <w:num w:numId="14" w16cid:durableId="1924558241">
    <w:abstractNumId w:val="0"/>
  </w:num>
  <w:num w:numId="15" w16cid:durableId="887453718">
    <w:abstractNumId w:val="14"/>
  </w:num>
  <w:num w:numId="16" w16cid:durableId="1805536806">
    <w:abstractNumId w:val="11"/>
  </w:num>
  <w:num w:numId="17" w16cid:durableId="441271271">
    <w:abstractNumId w:val="10"/>
  </w:num>
  <w:num w:numId="18" w16cid:durableId="1325431973">
    <w:abstractNumId w:val="5"/>
  </w:num>
  <w:num w:numId="19" w16cid:durableId="506019725">
    <w:abstractNumId w:val="8"/>
  </w:num>
  <w:num w:numId="20" w16cid:durableId="1249927599">
    <w:abstractNumId w:val="17"/>
  </w:num>
  <w:num w:numId="21" w16cid:durableId="829951965">
    <w:abstractNumId w:val="9"/>
  </w:num>
  <w:num w:numId="22" w16cid:durableId="19293436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24C"/>
    <w:rsid w:val="00001F0E"/>
    <w:rsid w:val="00041118"/>
    <w:rsid w:val="0005776E"/>
    <w:rsid w:val="0008694C"/>
    <w:rsid w:val="00087E56"/>
    <w:rsid w:val="000D16C4"/>
    <w:rsid w:val="000D4493"/>
    <w:rsid w:val="00152CC5"/>
    <w:rsid w:val="00163D60"/>
    <w:rsid w:val="001A5566"/>
    <w:rsid w:val="001B36FD"/>
    <w:rsid w:val="001F5BE7"/>
    <w:rsid w:val="002439B0"/>
    <w:rsid w:val="002A324C"/>
    <w:rsid w:val="002B3F15"/>
    <w:rsid w:val="002F4EA1"/>
    <w:rsid w:val="00343C5E"/>
    <w:rsid w:val="00345326"/>
    <w:rsid w:val="003806AA"/>
    <w:rsid w:val="003C4FB8"/>
    <w:rsid w:val="00407330"/>
    <w:rsid w:val="0045744D"/>
    <w:rsid w:val="00470D0A"/>
    <w:rsid w:val="004835E0"/>
    <w:rsid w:val="00494F09"/>
    <w:rsid w:val="004F7B84"/>
    <w:rsid w:val="00594CD6"/>
    <w:rsid w:val="005B257B"/>
    <w:rsid w:val="005D1EBD"/>
    <w:rsid w:val="005D3BEB"/>
    <w:rsid w:val="005E7441"/>
    <w:rsid w:val="005F3EFC"/>
    <w:rsid w:val="00681130"/>
    <w:rsid w:val="006D38E0"/>
    <w:rsid w:val="006E0618"/>
    <w:rsid w:val="006E0C96"/>
    <w:rsid w:val="006E3274"/>
    <w:rsid w:val="00771A63"/>
    <w:rsid w:val="007D4CBD"/>
    <w:rsid w:val="007F65F4"/>
    <w:rsid w:val="00801263"/>
    <w:rsid w:val="00807E01"/>
    <w:rsid w:val="008C36A1"/>
    <w:rsid w:val="008C7F10"/>
    <w:rsid w:val="008E2944"/>
    <w:rsid w:val="00995BD0"/>
    <w:rsid w:val="00AF1A6C"/>
    <w:rsid w:val="00B17E0B"/>
    <w:rsid w:val="00B30220"/>
    <w:rsid w:val="00B36C45"/>
    <w:rsid w:val="00B56C7C"/>
    <w:rsid w:val="00BA58C7"/>
    <w:rsid w:val="00BB13E8"/>
    <w:rsid w:val="00BD1687"/>
    <w:rsid w:val="00C04146"/>
    <w:rsid w:val="00C10279"/>
    <w:rsid w:val="00C55F5C"/>
    <w:rsid w:val="00C9009C"/>
    <w:rsid w:val="00C92B45"/>
    <w:rsid w:val="00CB6412"/>
    <w:rsid w:val="00D303E2"/>
    <w:rsid w:val="00E10EE2"/>
    <w:rsid w:val="00E347D9"/>
    <w:rsid w:val="00EC50A3"/>
    <w:rsid w:val="00F5621F"/>
    <w:rsid w:val="00F7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04A84"/>
  <w15:docId w15:val="{F023D338-1A84-4BEF-AF39-3F3916CC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table" w:customStyle="1" w:styleId="aa">
    <w:basedOn w:val="TableNormal"/>
    <w:pPr>
      <w:spacing w:line="240" w:lineRule="auto"/>
    </w:pPr>
    <w:tblPr>
      <w:tblStyleRowBandSize w:val="1"/>
      <w:tblStyleColBandSize w:val="1"/>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3E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EFC"/>
    <w:rPr>
      <w:rFonts w:ascii="Segoe UI" w:hAnsi="Segoe UI" w:cs="Segoe UI"/>
      <w:sz w:val="18"/>
      <w:szCs w:val="18"/>
    </w:rPr>
  </w:style>
  <w:style w:type="table" w:styleId="TableGrid">
    <w:name w:val="Table Grid"/>
    <w:basedOn w:val="TableNormal"/>
    <w:uiPriority w:val="59"/>
    <w:rsid w:val="005F3E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130"/>
    <w:pPr>
      <w:ind w:left="720"/>
      <w:contextualSpacing/>
    </w:pPr>
  </w:style>
  <w:style w:type="paragraph" w:styleId="TOCHeading">
    <w:name w:val="TOC Heading"/>
    <w:basedOn w:val="Heading1"/>
    <w:next w:val="Normal"/>
    <w:uiPriority w:val="39"/>
    <w:unhideWhenUsed/>
    <w:qFormat/>
    <w:rsid w:val="00B56C7C"/>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B56C7C"/>
    <w:pPr>
      <w:spacing w:after="100"/>
    </w:pPr>
  </w:style>
  <w:style w:type="paragraph" w:styleId="TOC2">
    <w:name w:val="toc 2"/>
    <w:basedOn w:val="Normal"/>
    <w:next w:val="Normal"/>
    <w:autoRedefine/>
    <w:uiPriority w:val="39"/>
    <w:unhideWhenUsed/>
    <w:rsid w:val="00995BD0"/>
    <w:pPr>
      <w:tabs>
        <w:tab w:val="right" w:leader="dot" w:pos="9350"/>
      </w:tabs>
      <w:spacing w:after="100"/>
      <w:ind w:left="220"/>
    </w:pPr>
    <w:rPr>
      <w:rFonts w:asciiTheme="majorHAnsi" w:hAnsiTheme="majorHAnsi" w:cstheme="majorHAnsi"/>
      <w:b/>
      <w:bCs/>
      <w:noProof/>
    </w:rPr>
  </w:style>
  <w:style w:type="character" w:styleId="Hyperlink">
    <w:name w:val="Hyperlink"/>
    <w:basedOn w:val="DefaultParagraphFont"/>
    <w:uiPriority w:val="99"/>
    <w:unhideWhenUsed/>
    <w:rsid w:val="00B56C7C"/>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439B0"/>
    <w:rPr>
      <w:b/>
      <w:bCs/>
    </w:rPr>
  </w:style>
  <w:style w:type="character" w:customStyle="1" w:styleId="CommentSubjectChar">
    <w:name w:val="Comment Subject Char"/>
    <w:basedOn w:val="CommentTextChar"/>
    <w:link w:val="CommentSubject"/>
    <w:uiPriority w:val="99"/>
    <w:semiHidden/>
    <w:rsid w:val="002439B0"/>
    <w:rPr>
      <w:b/>
      <w:bCs/>
      <w:sz w:val="20"/>
      <w:szCs w:val="20"/>
    </w:rPr>
  </w:style>
  <w:style w:type="paragraph" w:styleId="Header">
    <w:name w:val="header"/>
    <w:basedOn w:val="Normal"/>
    <w:link w:val="HeaderChar"/>
    <w:uiPriority w:val="99"/>
    <w:unhideWhenUsed/>
    <w:rsid w:val="00F74B49"/>
    <w:pPr>
      <w:tabs>
        <w:tab w:val="center" w:pos="4680"/>
        <w:tab w:val="right" w:pos="9360"/>
      </w:tabs>
      <w:spacing w:line="240" w:lineRule="auto"/>
    </w:pPr>
  </w:style>
  <w:style w:type="character" w:customStyle="1" w:styleId="HeaderChar">
    <w:name w:val="Header Char"/>
    <w:basedOn w:val="DefaultParagraphFont"/>
    <w:link w:val="Header"/>
    <w:uiPriority w:val="99"/>
    <w:rsid w:val="00F74B49"/>
  </w:style>
  <w:style w:type="paragraph" w:styleId="Footer">
    <w:name w:val="footer"/>
    <w:basedOn w:val="Normal"/>
    <w:link w:val="FooterChar"/>
    <w:uiPriority w:val="99"/>
    <w:unhideWhenUsed/>
    <w:rsid w:val="00F74B49"/>
    <w:pPr>
      <w:tabs>
        <w:tab w:val="center" w:pos="4680"/>
        <w:tab w:val="right" w:pos="9360"/>
      </w:tabs>
      <w:spacing w:line="240" w:lineRule="auto"/>
    </w:pPr>
  </w:style>
  <w:style w:type="character" w:customStyle="1" w:styleId="FooterChar">
    <w:name w:val="Footer Char"/>
    <w:basedOn w:val="DefaultParagraphFont"/>
    <w:link w:val="Footer"/>
    <w:uiPriority w:val="99"/>
    <w:rsid w:val="00F74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73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cbi.nlm.nih.gov/pmc/articles/PMC3232787/"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9FAF1-F065-4F63-98BB-C17C08967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4991</Words>
  <Characters>28451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Heil, Emily</dc:creator>
  <cp:lastModifiedBy>Wang, Sheila</cp:lastModifiedBy>
  <cp:revision>2</cp:revision>
  <dcterms:created xsi:type="dcterms:W3CDTF">2024-03-25T11:46:00Z</dcterms:created>
  <dcterms:modified xsi:type="dcterms:W3CDTF">2024-03-25T11:46:00Z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1d7da99e5d0ad11895d2301338cde54359e3c3f2c291fafe1c2c15fe0803c9b4</vt:lpwstr>
  </property>
</Properties>
</file>