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F1F3"/>
  <w:body>
    <w:tbl>
      <w:tblPr>
        <w:tblStyle w:val="TableGrid"/>
        <w:tblW w:w="0" w:type="auto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0214"/>
      </w:tblGrid>
      <w:tr w:rsidR="00B846D2" w14:paraId="479573BC" w14:textId="77777777" w:rsidTr="00774DE9">
        <w:tc>
          <w:tcPr>
            <w:tcW w:w="10214" w:type="dxa"/>
            <w:tcBorders>
              <w:top w:val="single" w:sz="4" w:space="0" w:color="124B9B"/>
              <w:left w:val="single" w:sz="4" w:space="0" w:color="124B9B"/>
              <w:bottom w:val="single" w:sz="48" w:space="0" w:color="6ABD2C"/>
              <w:right w:val="single" w:sz="4" w:space="0" w:color="124B9B"/>
            </w:tcBorders>
            <w:shd w:val="clear" w:color="auto" w:fill="124B9B"/>
          </w:tcPr>
          <w:p w14:paraId="54A135B0" w14:textId="1BE3CD1D" w:rsidR="00D04EBE" w:rsidRPr="00D04EBE" w:rsidRDefault="00D82878" w:rsidP="00D04EBE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Remdesivir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Veklury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®)</w:t>
            </w:r>
            <w:r w:rsidR="00E414C8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for SARS-CoV-2</w:t>
            </w:r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– </w:t>
            </w:r>
            <w:r w:rsidR="00E414C8">
              <w:rPr>
                <w:rFonts w:ascii="Arial" w:hAnsi="Arial" w:cs="Arial"/>
                <w:b w:val="0"/>
                <w:bCs w:val="0"/>
                <w:color w:val="FFFFFF" w:themeColor="background1"/>
              </w:rPr>
              <w:t>Nursing Guide</w:t>
            </w:r>
          </w:p>
        </w:tc>
      </w:tr>
      <w:tr w:rsidR="00B846D2" w14:paraId="1E53F47B" w14:textId="77777777" w:rsidTr="00774DE9">
        <w:tc>
          <w:tcPr>
            <w:tcW w:w="10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1D39980" w14:textId="7BB20D78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bookmarkStart w:id="1" w:name="_Mechanism_of_action:"/>
            <w:bookmarkEnd w:id="1"/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>Background</w:t>
            </w:r>
          </w:p>
          <w:p w14:paraId="256D6F04" w14:textId="3A8AC6D9" w:rsidR="00E414C8" w:rsidRPr="00656598" w:rsidRDefault="00E414C8" w:rsidP="00E414C8">
            <w:pPr>
              <w:ind w:left="70" w:right="27"/>
              <w:rPr>
                <w:rFonts w:cstheme="minorHAnsi"/>
                <w:b/>
                <w:bCs/>
              </w:rPr>
            </w:pPr>
            <w:r w:rsidRPr="00656598">
              <w:rPr>
                <w:rFonts w:cstheme="minorHAnsi"/>
              </w:rPr>
              <w:t xml:space="preserve">Remdesivir is an antiviral medication that directly inhibits viral replication of SARS-CoV-2. It is approved for treatment of COVID-19 in adults and pediatric patients with COVID-19, who are hospitalized, or not hospitalized and are at high risk for progression to severe COVID-19. </w:t>
            </w:r>
          </w:p>
          <w:p w14:paraId="02F95D69" w14:textId="77777777" w:rsidR="00656598" w:rsidRDefault="0065659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lang w:bidi="ar-SA"/>
              </w:rPr>
            </w:pPr>
          </w:p>
          <w:p w14:paraId="55D922A2" w14:textId="633853F2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bCs/>
                <w:sz w:val="28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>Indication</w:t>
            </w:r>
            <w:r w:rsidRPr="00656598">
              <w:rPr>
                <w:rFonts w:cstheme="minorHAnsi"/>
                <w:b/>
                <w:bCs/>
                <w:sz w:val="28"/>
              </w:rPr>
              <w:t xml:space="preserve"> </w:t>
            </w:r>
          </w:p>
          <w:p w14:paraId="2089C585" w14:textId="3F73FFA6" w:rsidR="00E414C8" w:rsidRPr="00656598" w:rsidRDefault="00E414C8" w:rsidP="00E414C8">
            <w:pPr>
              <w:ind w:left="70" w:right="27"/>
              <w:rPr>
                <w:rFonts w:cstheme="minorHAnsi"/>
                <w:bCs/>
                <w:iCs/>
              </w:rPr>
            </w:pPr>
            <w:r w:rsidRPr="00656598">
              <w:rPr>
                <w:rFonts w:cstheme="minorHAnsi"/>
                <w:bCs/>
                <w:iCs/>
              </w:rPr>
              <w:t xml:space="preserve">For treatment of COVID-19 in adults and pediatric patients (≥28 days old and weighing ≥3 kg) </w:t>
            </w:r>
            <w:r w:rsidR="002B7852" w:rsidRPr="00656598">
              <w:rPr>
                <w:rFonts w:cstheme="minorHAnsi"/>
                <w:bCs/>
                <w:iCs/>
              </w:rPr>
              <w:t>with a positive SARS-CoV-2 viral test or with clinically suspected COVID-19 (based on symptoms and potential exposure) when a test is unavailable, who are:</w:t>
            </w:r>
          </w:p>
          <w:p w14:paraId="24DAE231" w14:textId="77777777" w:rsidR="00E414C8" w:rsidRPr="00656598" w:rsidRDefault="00E414C8">
            <w:pPr>
              <w:pStyle w:val="ListParagraph"/>
              <w:numPr>
                <w:ilvl w:val="0"/>
                <w:numId w:val="4"/>
              </w:numPr>
              <w:ind w:right="27"/>
              <w:rPr>
                <w:rFonts w:cstheme="minorHAnsi"/>
                <w:bCs/>
                <w:iCs/>
              </w:rPr>
            </w:pPr>
            <w:r w:rsidRPr="00656598">
              <w:rPr>
                <w:rFonts w:cstheme="minorHAnsi"/>
                <w:bCs/>
                <w:iCs/>
              </w:rPr>
              <w:t>Hospitalized, or</w:t>
            </w:r>
          </w:p>
          <w:p w14:paraId="420B6926" w14:textId="7C2440FF" w:rsidR="00E414C8" w:rsidRPr="00656598" w:rsidRDefault="00E414C8">
            <w:pPr>
              <w:pStyle w:val="ListParagraph"/>
              <w:numPr>
                <w:ilvl w:val="0"/>
                <w:numId w:val="3"/>
              </w:numPr>
              <w:ind w:right="27"/>
              <w:rPr>
                <w:rFonts w:cstheme="minorHAnsi"/>
                <w:bCs/>
                <w:iCs/>
              </w:rPr>
            </w:pPr>
            <w:r w:rsidRPr="00656598">
              <w:rPr>
                <w:rFonts w:cstheme="minorHAnsi"/>
                <w:bCs/>
                <w:iCs/>
              </w:rPr>
              <w:t xml:space="preserve">Not hospitalized, have mild-to-moderate COVID-19, and are at </w:t>
            </w:r>
            <w:hyperlink r:id="rId7" w:history="1">
              <w:r w:rsidRPr="00656598">
                <w:rPr>
                  <w:rStyle w:val="Hyperlink"/>
                  <w:rFonts w:cstheme="minorHAnsi"/>
                  <w:bCs/>
                  <w:iCs/>
                </w:rPr>
                <w:t>high risk for progression to severe COVID-19</w:t>
              </w:r>
            </w:hyperlink>
            <w:r w:rsidRPr="00656598">
              <w:rPr>
                <w:rFonts w:cstheme="minorHAnsi"/>
                <w:bCs/>
                <w:iCs/>
              </w:rPr>
              <w:t>, including hospitalization or death</w:t>
            </w:r>
          </w:p>
          <w:p w14:paraId="7CCB1B70" w14:textId="77777777" w:rsidR="00656598" w:rsidRDefault="0065659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lang w:bidi="ar-SA"/>
              </w:rPr>
            </w:pPr>
          </w:p>
          <w:p w14:paraId="4ACDB0DE" w14:textId="3381273D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 xml:space="preserve">Dosage and Treatment Duration </w:t>
            </w:r>
          </w:p>
          <w:p w14:paraId="50071B3A" w14:textId="7678E587" w:rsidR="00E414C8" w:rsidRPr="00656598" w:rsidRDefault="00E414C8">
            <w:pPr>
              <w:pStyle w:val="ListParagraph"/>
              <w:numPr>
                <w:ilvl w:val="0"/>
                <w:numId w:val="5"/>
              </w:numPr>
              <w:ind w:left="70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Remdesivir should be </w:t>
            </w:r>
            <w:r w:rsidRPr="00656598">
              <w:rPr>
                <w:rFonts w:cstheme="minorHAnsi"/>
                <w:bCs/>
              </w:rPr>
              <w:t xml:space="preserve">initiated as soon as possible </w:t>
            </w:r>
            <w:r w:rsidRPr="00656598">
              <w:rPr>
                <w:rFonts w:cstheme="minorHAnsi"/>
              </w:rPr>
              <w:t xml:space="preserve">after diagnosis of symptomatic COVID-19 and </w:t>
            </w:r>
            <w:r w:rsidR="00557948">
              <w:rPr>
                <w:rFonts w:cstheme="minorHAnsi"/>
              </w:rPr>
              <w:t xml:space="preserve">ideally </w:t>
            </w:r>
            <w:r w:rsidRPr="00656598">
              <w:rPr>
                <w:rFonts w:cstheme="minorHAnsi"/>
                <w:bCs/>
              </w:rPr>
              <w:t xml:space="preserve">within 7 days </w:t>
            </w:r>
            <w:r w:rsidRPr="00656598">
              <w:rPr>
                <w:rFonts w:cstheme="minorHAnsi"/>
              </w:rPr>
              <w:t>of symptom onset</w:t>
            </w:r>
          </w:p>
          <w:p w14:paraId="0EB33240" w14:textId="77777777" w:rsidR="00E414C8" w:rsidRPr="00656598" w:rsidRDefault="00E414C8">
            <w:pPr>
              <w:pStyle w:val="ListParagraph"/>
              <w:numPr>
                <w:ilvl w:val="0"/>
                <w:numId w:val="5"/>
              </w:numPr>
              <w:ind w:left="70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Dosage</w:t>
            </w:r>
          </w:p>
          <w:p w14:paraId="5C16876E" w14:textId="10C2729A" w:rsidR="00E414C8" w:rsidRPr="00656598" w:rsidRDefault="00E414C8">
            <w:pPr>
              <w:pStyle w:val="ListParagraph"/>
              <w:numPr>
                <w:ilvl w:val="1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Adults and pediatric patients weighing ≥40 kg</w:t>
            </w:r>
          </w:p>
          <w:p w14:paraId="67566E82" w14:textId="77777777" w:rsidR="00E414C8" w:rsidRPr="00656598" w:rsidRDefault="00E414C8">
            <w:pPr>
              <w:pStyle w:val="ListParagraph"/>
              <w:numPr>
                <w:ilvl w:val="2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Loading dose of 200 mg IV ONCE on Day 1, then maintenance dose of 100 mg IV once daily </w:t>
            </w:r>
          </w:p>
          <w:p w14:paraId="79DA727A" w14:textId="77777777" w:rsidR="00E414C8" w:rsidRPr="00656598" w:rsidRDefault="00E414C8">
            <w:pPr>
              <w:pStyle w:val="ListParagraph"/>
              <w:numPr>
                <w:ilvl w:val="1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Pediatric patients ≥28 days old and weighing ≥3 kg to &lt;40 kg</w:t>
            </w:r>
          </w:p>
          <w:p w14:paraId="4C6698D2" w14:textId="77777777" w:rsidR="00E414C8" w:rsidRPr="00656598" w:rsidRDefault="00E414C8">
            <w:pPr>
              <w:pStyle w:val="ListParagraph"/>
              <w:numPr>
                <w:ilvl w:val="2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Loading dose of 5 mg/kg IV ONCE on Day 1, then maintenance dose of 2.5 mg/kg IV once daily</w:t>
            </w:r>
          </w:p>
          <w:p w14:paraId="17019CB7" w14:textId="77777777" w:rsidR="00E414C8" w:rsidRPr="00656598" w:rsidRDefault="00E414C8" w:rsidP="00656598">
            <w:pPr>
              <w:pStyle w:val="ListParagraph"/>
              <w:numPr>
                <w:ilvl w:val="0"/>
                <w:numId w:val="5"/>
              </w:numPr>
              <w:ind w:left="706" w:right="29"/>
              <w:rPr>
                <w:rFonts w:cstheme="minorHAnsi"/>
              </w:rPr>
            </w:pPr>
            <w:r w:rsidRPr="00656598">
              <w:rPr>
                <w:rFonts w:cstheme="minorHAnsi"/>
              </w:rPr>
              <w:t>Recommended treatment duration</w:t>
            </w:r>
          </w:p>
          <w:tbl>
            <w:tblPr>
              <w:tblStyle w:val="TableGrid"/>
              <w:tblW w:w="0" w:type="auto"/>
              <w:tblInd w:w="335" w:type="dxa"/>
              <w:tblLook w:val="04A0" w:firstRow="1" w:lastRow="0" w:firstColumn="1" w:lastColumn="0" w:noHBand="0" w:noVBand="1"/>
            </w:tblPr>
            <w:tblGrid>
              <w:gridCol w:w="3183"/>
              <w:gridCol w:w="6090"/>
            </w:tblGrid>
            <w:tr w:rsidR="00E414C8" w:rsidRPr="00656598" w14:paraId="143F6889" w14:textId="77777777" w:rsidTr="00E414C8">
              <w:trPr>
                <w:trHeight w:val="287"/>
              </w:trPr>
              <w:tc>
                <w:tcPr>
                  <w:tcW w:w="3183" w:type="dxa"/>
                  <w:vAlign w:val="center"/>
                </w:tcPr>
                <w:p w14:paraId="33E5C597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Outpatient</w:t>
                  </w:r>
                </w:p>
              </w:tc>
              <w:tc>
                <w:tcPr>
                  <w:tcW w:w="6090" w:type="dxa"/>
                  <w:vAlign w:val="center"/>
                </w:tcPr>
                <w:p w14:paraId="10D9F2AC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Inpatient</w:t>
                  </w:r>
                </w:p>
              </w:tc>
            </w:tr>
            <w:tr w:rsidR="00E414C8" w:rsidRPr="00656598" w14:paraId="76737BC5" w14:textId="77777777" w:rsidTr="00E414C8">
              <w:trPr>
                <w:trHeight w:val="332"/>
              </w:trPr>
              <w:tc>
                <w:tcPr>
                  <w:tcW w:w="3183" w:type="dxa"/>
                  <w:shd w:val="clear" w:color="auto" w:fill="D2EBC0"/>
                  <w:vAlign w:val="center"/>
                </w:tcPr>
                <w:p w14:paraId="5F99FE26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3 days</w:t>
                  </w:r>
                </w:p>
              </w:tc>
              <w:tc>
                <w:tcPr>
                  <w:tcW w:w="6090" w:type="dxa"/>
                  <w:shd w:val="clear" w:color="auto" w:fill="D2EBC0"/>
                  <w:vAlign w:val="center"/>
                </w:tcPr>
                <w:p w14:paraId="31B7E25B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5 days</w:t>
                  </w:r>
                </w:p>
              </w:tc>
            </w:tr>
            <w:tr w:rsidR="00E414C8" w:rsidRPr="00656598" w14:paraId="49E0CCAA" w14:textId="77777777" w:rsidTr="00E414C8">
              <w:tc>
                <w:tcPr>
                  <w:tcW w:w="3183" w:type="dxa"/>
                  <w:vAlign w:val="center"/>
                </w:tcPr>
                <w:p w14:paraId="4760360B" w14:textId="77777777" w:rsidR="00E414C8" w:rsidRPr="00656598" w:rsidRDefault="00E414C8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Adults and pediatric patients who are ≥28 days old, weigh ≥3 kg, and</w:t>
                  </w:r>
                </w:p>
                <w:p w14:paraId="5106190A" w14:textId="77777777" w:rsidR="00E414C8" w:rsidRPr="00656598" w:rsidRDefault="00E414C8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  <w:b/>
                      <w:bCs/>
                    </w:rPr>
                    <w:t>NOT</w:t>
                  </w:r>
                  <w:r w:rsidRPr="00656598">
                    <w:rPr>
                      <w:rFonts w:cstheme="minorHAnsi"/>
                    </w:rPr>
                    <w:t xml:space="preserve"> HOSPITALIZED</w:t>
                  </w:r>
                </w:p>
              </w:tc>
              <w:tc>
                <w:tcPr>
                  <w:tcW w:w="6090" w:type="dxa"/>
                  <w:vAlign w:val="center"/>
                </w:tcPr>
                <w:p w14:paraId="71FB74B0" w14:textId="77777777" w:rsidR="00E414C8" w:rsidRPr="00656598" w:rsidRDefault="00E414C8">
                  <w:pPr>
                    <w:numPr>
                      <w:ilvl w:val="0"/>
                      <w:numId w:val="2"/>
                    </w:numPr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Adults and pediatric patients who are ≥28 days old, weigh ≥3 kg, and</w:t>
                  </w:r>
                </w:p>
                <w:p w14:paraId="56B87EE5" w14:textId="77777777" w:rsidR="00E414C8" w:rsidRPr="00656598" w:rsidRDefault="00E414C8">
                  <w:pPr>
                    <w:numPr>
                      <w:ilvl w:val="0"/>
                      <w:numId w:val="2"/>
                    </w:numPr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HOSPITALIZED, and</w:t>
                  </w:r>
                </w:p>
                <w:p w14:paraId="7EE8F3E0" w14:textId="0DA4F22F" w:rsidR="00E414C8" w:rsidRPr="00656598" w:rsidRDefault="00E414C8" w:rsidP="00D57117">
                  <w:pPr>
                    <w:numPr>
                      <w:ilvl w:val="0"/>
                      <w:numId w:val="2"/>
                    </w:numPr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Does NOT require invasive mechanical ventilation and/or ECMO</w:t>
                  </w:r>
                  <w:r w:rsidR="00D57117" w:rsidRPr="00656598">
                    <w:rPr>
                      <w:rFonts w:cstheme="minorHAnsi"/>
                    </w:rPr>
                    <w:t xml:space="preserve"> at </w:t>
                  </w:r>
                  <w:proofErr w:type="spellStart"/>
                  <w:r w:rsidR="00D57117" w:rsidRPr="00656598">
                    <w:rPr>
                      <w:rFonts w:cstheme="minorHAnsi"/>
                    </w:rPr>
                    <w:t>baseline</w:t>
                  </w:r>
                  <w:r w:rsidR="00D57117" w:rsidRPr="00656598">
                    <w:rPr>
                      <w:rFonts w:cstheme="minorHAnsi"/>
                      <w:vertAlign w:val="superscript"/>
                    </w:rPr>
                    <w:t>a,b</w:t>
                  </w:r>
                  <w:proofErr w:type="spellEnd"/>
                </w:p>
              </w:tc>
            </w:tr>
          </w:tbl>
          <w:p w14:paraId="595E273F" w14:textId="77777777" w:rsidR="00D57117" w:rsidRPr="00656598" w:rsidRDefault="00D57117" w:rsidP="00D57117">
            <w:pPr>
              <w:spacing w:before="120"/>
              <w:ind w:right="29"/>
              <w:rPr>
                <w:rFonts w:cstheme="minorHAnsi"/>
                <w:sz w:val="22"/>
              </w:rPr>
            </w:pPr>
            <w:r w:rsidRPr="00656598">
              <w:rPr>
                <w:rFonts w:cstheme="minorHAnsi"/>
                <w:i/>
                <w:sz w:val="22"/>
              </w:rPr>
              <w:t xml:space="preserve"> </w:t>
            </w:r>
            <w:r w:rsidRPr="00656598">
              <w:rPr>
                <w:rFonts w:cstheme="minorHAnsi"/>
                <w:sz w:val="22"/>
                <w:vertAlign w:val="superscript"/>
              </w:rPr>
              <w:t xml:space="preserve">a </w:t>
            </w:r>
            <w:r w:rsidRPr="00656598">
              <w:rPr>
                <w:rFonts w:cstheme="minorHAnsi"/>
                <w:sz w:val="22"/>
              </w:rPr>
              <w:t>Manufacturer prescribing information recommends 10 days duration for those requiring mechanical ventilation and/or extracorporeal membrane oxygenation (ECMO) (NIH guidelines do not recommend use in this setting), and consideration of extending 5-day courses an additional 5 days if poor clinical response for those not requiring mechanical ventilation or ECMO</w:t>
            </w:r>
          </w:p>
          <w:p w14:paraId="505D83DA" w14:textId="484237D4" w:rsidR="005B0D7F" w:rsidRPr="00656598" w:rsidRDefault="00D57117" w:rsidP="00D57117">
            <w:pPr>
              <w:spacing w:before="120"/>
              <w:ind w:right="29"/>
              <w:rPr>
                <w:rFonts w:cstheme="minorHAnsi"/>
                <w:sz w:val="22"/>
              </w:rPr>
            </w:pPr>
            <w:r w:rsidRPr="00656598">
              <w:rPr>
                <w:rFonts w:cstheme="minorHAnsi"/>
                <w:i/>
                <w:sz w:val="22"/>
                <w:vertAlign w:val="superscript"/>
              </w:rPr>
              <w:t>b</w:t>
            </w:r>
            <w:r w:rsidRPr="00656598">
              <w:rPr>
                <w:rFonts w:cstheme="minorHAnsi"/>
                <w:i/>
                <w:sz w:val="22"/>
              </w:rPr>
              <w:t xml:space="preserve"> </w:t>
            </w:r>
            <w:r w:rsidR="00E414C8" w:rsidRPr="00656598">
              <w:rPr>
                <w:rFonts w:cstheme="minorHAnsi"/>
                <w:sz w:val="22"/>
              </w:rPr>
              <w:t xml:space="preserve"> </w:t>
            </w:r>
            <w:r w:rsidRPr="00656598">
              <w:rPr>
                <w:rFonts w:cstheme="minorHAnsi"/>
                <w:sz w:val="22"/>
              </w:rPr>
              <w:t xml:space="preserve">For patients started on </w:t>
            </w:r>
            <w:proofErr w:type="spellStart"/>
            <w:r w:rsidRPr="00656598">
              <w:rPr>
                <w:rFonts w:cstheme="minorHAnsi"/>
                <w:sz w:val="22"/>
              </w:rPr>
              <w:t>remdesivir</w:t>
            </w:r>
            <w:proofErr w:type="spellEnd"/>
            <w:r w:rsidRPr="00656598">
              <w:rPr>
                <w:rFonts w:cstheme="minorHAnsi"/>
                <w:sz w:val="22"/>
              </w:rPr>
              <w:t xml:space="preserve"> that progress to requiring mechanical ventilation and/or ECMO, therapy should continue until course is completed</w:t>
            </w:r>
          </w:p>
          <w:p w14:paraId="565B4640" w14:textId="2D6D2CD4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lastRenderedPageBreak/>
              <w:t>Administration</w:t>
            </w:r>
          </w:p>
          <w:p w14:paraId="06A2E7DC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Assure appropriate IV access prior to obtaining medication; may be given through a peripheral IV or a central line</w:t>
            </w:r>
          </w:p>
          <w:p w14:paraId="32A597E6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If using an existing IV, line must be flushed before and after infusion with normal saline (NS)</w:t>
            </w:r>
          </w:p>
          <w:p w14:paraId="15C11625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Do not administer </w:t>
            </w:r>
            <w:proofErr w:type="spellStart"/>
            <w:r w:rsidRPr="00656598">
              <w:rPr>
                <w:rFonts w:cstheme="minorHAnsi"/>
              </w:rPr>
              <w:t>remdesivir</w:t>
            </w:r>
            <w:proofErr w:type="spellEnd"/>
            <w:r w:rsidRPr="00656598">
              <w:rPr>
                <w:rFonts w:cstheme="minorHAnsi"/>
              </w:rPr>
              <w:t xml:space="preserve"> simultaneously with any other medication </w:t>
            </w:r>
          </w:p>
          <w:p w14:paraId="62EE42FA" w14:textId="4849AECC" w:rsidR="00D57117" w:rsidRPr="00656598" w:rsidRDefault="00E414C8" w:rsidP="00557A70">
            <w:pPr>
              <w:pStyle w:val="ListParagraph"/>
              <w:numPr>
                <w:ilvl w:val="1"/>
                <w:numId w:val="6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Avoid concomitant administration with hydroxychloroquine</w:t>
            </w:r>
            <w:r w:rsidR="00F20E15" w:rsidRPr="00656598">
              <w:rPr>
                <w:rFonts w:cstheme="minorHAnsi"/>
              </w:rPr>
              <w:t xml:space="preserve"> </w:t>
            </w:r>
            <w:r w:rsidR="005B0D7F" w:rsidRPr="00656598">
              <w:rPr>
                <w:rFonts w:cstheme="minorHAnsi"/>
              </w:rPr>
              <w:t>or chloroquine</w:t>
            </w:r>
            <w:r w:rsidR="00F20E15" w:rsidRPr="00656598">
              <w:rPr>
                <w:rFonts w:cstheme="minorHAnsi"/>
              </w:rPr>
              <w:t xml:space="preserve"> (potential antagonism)</w:t>
            </w:r>
          </w:p>
          <w:p w14:paraId="30F11FA6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Stability of prepared infusion bag </w:t>
            </w:r>
          </w:p>
          <w:p w14:paraId="2D57F55A" w14:textId="77777777" w:rsidR="00E414C8" w:rsidRPr="00656598" w:rsidRDefault="00E414C8">
            <w:pPr>
              <w:pStyle w:val="ListParagraph"/>
              <w:numPr>
                <w:ilvl w:val="1"/>
                <w:numId w:val="6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At room temperature (20 °C to 25 °C [68 °F to 77 °F]): up to 24 hours</w:t>
            </w:r>
          </w:p>
          <w:p w14:paraId="226C5391" w14:textId="77777777" w:rsidR="00E414C8" w:rsidRPr="00656598" w:rsidRDefault="00E414C8">
            <w:pPr>
              <w:pStyle w:val="ListParagraph"/>
              <w:numPr>
                <w:ilvl w:val="1"/>
                <w:numId w:val="6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Refrigerated (2 °C to 8 °C [36 °F to 46 °F]): up to 48 hours </w:t>
            </w:r>
          </w:p>
          <w:p w14:paraId="587D34B2" w14:textId="3969E29A" w:rsidR="005B0D7F" w:rsidRPr="00656598" w:rsidRDefault="00E414C8" w:rsidP="005B0D7F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Entire volume of medication should be administered </w:t>
            </w:r>
          </w:p>
          <w:p w14:paraId="3EF59B3A" w14:textId="20304265" w:rsidR="00E414C8" w:rsidRPr="00656598" w:rsidRDefault="00E414C8" w:rsidP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Recommended rate of infusion</w:t>
            </w:r>
          </w:p>
          <w:tbl>
            <w:tblPr>
              <w:tblStyle w:val="TableGrid"/>
              <w:tblW w:w="0" w:type="auto"/>
              <w:tblInd w:w="335" w:type="dxa"/>
              <w:tblLook w:val="04A0" w:firstRow="1" w:lastRow="0" w:firstColumn="1" w:lastColumn="0" w:noHBand="0" w:noVBand="1"/>
            </w:tblPr>
            <w:tblGrid>
              <w:gridCol w:w="3084"/>
              <w:gridCol w:w="3100"/>
              <w:gridCol w:w="3084"/>
            </w:tblGrid>
            <w:tr w:rsidR="00E414C8" w:rsidRPr="00656598" w14:paraId="3C215897" w14:textId="77777777" w:rsidTr="00E414C8">
              <w:tc>
                <w:tcPr>
                  <w:tcW w:w="3084" w:type="dxa"/>
                  <w:vAlign w:val="center"/>
                </w:tcPr>
                <w:p w14:paraId="09CC5E88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Infusion bag volume</w:t>
                  </w:r>
                </w:p>
              </w:tc>
              <w:tc>
                <w:tcPr>
                  <w:tcW w:w="3100" w:type="dxa"/>
                  <w:vAlign w:val="center"/>
                </w:tcPr>
                <w:p w14:paraId="00534DFE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Infusion time</w:t>
                  </w:r>
                </w:p>
              </w:tc>
              <w:tc>
                <w:tcPr>
                  <w:tcW w:w="3084" w:type="dxa"/>
                  <w:vAlign w:val="center"/>
                </w:tcPr>
                <w:p w14:paraId="16E3CC4D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Rate of infusion</w:t>
                  </w:r>
                </w:p>
              </w:tc>
            </w:tr>
            <w:tr w:rsidR="00E414C8" w:rsidRPr="00656598" w14:paraId="43096640" w14:textId="77777777" w:rsidTr="00E414C8">
              <w:tc>
                <w:tcPr>
                  <w:tcW w:w="3084" w:type="dxa"/>
                  <w:vMerge w:val="restart"/>
                  <w:vAlign w:val="center"/>
                </w:tcPr>
                <w:p w14:paraId="6650624D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250 mL</w:t>
                  </w:r>
                </w:p>
              </w:tc>
              <w:tc>
                <w:tcPr>
                  <w:tcW w:w="3100" w:type="dxa"/>
                  <w:vAlign w:val="center"/>
                </w:tcPr>
                <w:p w14:paraId="34D81C9C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30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61CE5114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8.33 mL/min</w:t>
                  </w:r>
                </w:p>
              </w:tc>
            </w:tr>
            <w:tr w:rsidR="00E414C8" w:rsidRPr="00656598" w14:paraId="0A84511E" w14:textId="77777777" w:rsidTr="00E414C8">
              <w:tc>
                <w:tcPr>
                  <w:tcW w:w="3084" w:type="dxa"/>
                  <w:vMerge/>
                  <w:vAlign w:val="center"/>
                </w:tcPr>
                <w:p w14:paraId="5AA4740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7202FA2A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60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7744191C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4.17 mL/min</w:t>
                  </w:r>
                </w:p>
              </w:tc>
            </w:tr>
            <w:tr w:rsidR="00E414C8" w:rsidRPr="00656598" w14:paraId="6C03E23E" w14:textId="77777777" w:rsidTr="00E414C8">
              <w:tc>
                <w:tcPr>
                  <w:tcW w:w="3084" w:type="dxa"/>
                  <w:vMerge/>
                  <w:vAlign w:val="center"/>
                </w:tcPr>
                <w:p w14:paraId="1128AED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60C71CE7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120 minutes†</w:t>
                  </w:r>
                </w:p>
              </w:tc>
              <w:tc>
                <w:tcPr>
                  <w:tcW w:w="3084" w:type="dxa"/>
                  <w:vAlign w:val="center"/>
                </w:tcPr>
                <w:p w14:paraId="51ACC4BA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2.08 mL/min</w:t>
                  </w:r>
                </w:p>
              </w:tc>
            </w:tr>
            <w:tr w:rsidR="00E414C8" w:rsidRPr="00656598" w14:paraId="305A5034" w14:textId="77777777" w:rsidTr="00E414C8">
              <w:tc>
                <w:tcPr>
                  <w:tcW w:w="3084" w:type="dxa"/>
                  <w:vMerge w:val="restart"/>
                  <w:vAlign w:val="center"/>
                </w:tcPr>
                <w:p w14:paraId="6C0B5A15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100 mL</w:t>
                  </w:r>
                </w:p>
              </w:tc>
              <w:tc>
                <w:tcPr>
                  <w:tcW w:w="3100" w:type="dxa"/>
                  <w:vAlign w:val="center"/>
                </w:tcPr>
                <w:p w14:paraId="0A8BD7AF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30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31DE1863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3.33 mL/min</w:t>
                  </w:r>
                </w:p>
              </w:tc>
            </w:tr>
            <w:tr w:rsidR="00E414C8" w:rsidRPr="00656598" w14:paraId="02BDEEA6" w14:textId="77777777" w:rsidTr="00E414C8">
              <w:tc>
                <w:tcPr>
                  <w:tcW w:w="3084" w:type="dxa"/>
                  <w:vMerge/>
                  <w:vAlign w:val="center"/>
                </w:tcPr>
                <w:p w14:paraId="13C3A44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5380D80E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60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10ED82C1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1.67 mL/min</w:t>
                  </w:r>
                </w:p>
              </w:tc>
            </w:tr>
            <w:tr w:rsidR="00E414C8" w:rsidRPr="00656598" w14:paraId="303D92F6" w14:textId="77777777" w:rsidTr="00E414C8">
              <w:tc>
                <w:tcPr>
                  <w:tcW w:w="3084" w:type="dxa"/>
                  <w:vMerge/>
                  <w:vAlign w:val="center"/>
                </w:tcPr>
                <w:p w14:paraId="4B79033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7C7C1AB5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120 minutes†</w:t>
                  </w:r>
                </w:p>
              </w:tc>
              <w:tc>
                <w:tcPr>
                  <w:tcW w:w="3084" w:type="dxa"/>
                  <w:vAlign w:val="center"/>
                </w:tcPr>
                <w:p w14:paraId="40199388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0.83 mL/min</w:t>
                  </w:r>
                </w:p>
              </w:tc>
            </w:tr>
          </w:tbl>
          <w:p w14:paraId="453BB6F1" w14:textId="77777777" w:rsidR="00E414C8" w:rsidRPr="00656598" w:rsidRDefault="00E414C8" w:rsidP="00E414C8">
            <w:pPr>
              <w:spacing w:before="120"/>
              <w:ind w:left="346" w:right="29"/>
              <w:rPr>
                <w:rFonts w:cstheme="minorHAnsi"/>
              </w:rPr>
            </w:pPr>
            <w:r w:rsidRPr="00656598">
              <w:rPr>
                <w:rFonts w:cstheme="minorHAnsi"/>
              </w:rPr>
              <w:t>† Consider to prevent potential infusion reactions</w:t>
            </w:r>
          </w:p>
          <w:p w14:paraId="1EE611A5" w14:textId="77777777" w:rsidR="00E414C8" w:rsidRPr="00656598" w:rsidRDefault="00E414C8" w:rsidP="00E414C8">
            <w:pPr>
              <w:ind w:left="70" w:right="27"/>
              <w:rPr>
                <w:rFonts w:cstheme="minorHAnsi"/>
              </w:rPr>
            </w:pPr>
          </w:p>
          <w:p w14:paraId="56217DDB" w14:textId="621B464E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>Monitoring</w:t>
            </w:r>
          </w:p>
          <w:p w14:paraId="5DE61C7D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Recommended labs prior to and during treatment: </w:t>
            </w:r>
            <w:proofErr w:type="spellStart"/>
            <w:r w:rsidRPr="00656598">
              <w:rPr>
                <w:rFonts w:cstheme="minorHAnsi"/>
              </w:rPr>
              <w:t>eGFR</w:t>
            </w:r>
            <w:proofErr w:type="spellEnd"/>
            <w:r w:rsidRPr="00656598">
              <w:rPr>
                <w:rFonts w:cstheme="minorHAnsi"/>
              </w:rPr>
              <w:t>, hepatic laboratory, prothrombin time testing</w:t>
            </w:r>
          </w:p>
          <w:p w14:paraId="5FDFD0C2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Use cautiously in individuals with hepatic impairment</w:t>
            </w:r>
          </w:p>
          <w:p w14:paraId="28588B27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Safety in pregnancy and lactation is not established</w:t>
            </w:r>
          </w:p>
          <w:p w14:paraId="67DF277D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Adverse reactions</w:t>
            </w:r>
            <w:r w:rsidRPr="00656598">
              <w:rPr>
                <w:rFonts w:cstheme="minorHAnsi"/>
              </w:rPr>
              <w:tab/>
            </w:r>
          </w:p>
          <w:p w14:paraId="76FADBD2" w14:textId="77777777" w:rsidR="00E414C8" w:rsidRPr="00656598" w:rsidRDefault="00E414C8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Common: nausea, increases in ALT/AST </w:t>
            </w:r>
          </w:p>
          <w:p w14:paraId="10CFF955" w14:textId="77777777" w:rsidR="00E414C8" w:rsidRPr="00656598" w:rsidRDefault="00E414C8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Less common: hypersensitivity reaction (including anaphylaxis), bradycardia, generalized seizure</w:t>
            </w:r>
          </w:p>
          <w:p w14:paraId="159CF70A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Once drug administration is complete, monitor the patient for at least </w:t>
            </w:r>
            <w:r w:rsidRPr="00656598">
              <w:rPr>
                <w:rFonts w:cstheme="minorHAnsi"/>
                <w:b/>
                <w:bCs/>
              </w:rPr>
              <w:t xml:space="preserve">one hour </w:t>
            </w:r>
          </w:p>
          <w:p w14:paraId="41BE0736" w14:textId="77777777" w:rsidR="00E414C8" w:rsidRPr="00656598" w:rsidRDefault="00E414C8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  <w:bCs/>
              </w:rPr>
              <w:t>If signs and symptoms of a clinically significant hypersensitivity reaction occur, immediately discontinue administration and initiate appropriate treatment</w:t>
            </w:r>
          </w:p>
          <w:p w14:paraId="32276E85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  <w:bCs/>
              </w:rPr>
              <w:t xml:space="preserve">Report </w:t>
            </w:r>
            <w:r w:rsidRPr="00656598">
              <w:rPr>
                <w:rFonts w:cstheme="minorHAnsi"/>
              </w:rPr>
              <w:t xml:space="preserve">any adverse events observed </w:t>
            </w:r>
          </w:p>
          <w:p w14:paraId="7DE6E7B5" w14:textId="2DC7BE3B" w:rsidR="004F3E23" w:rsidRPr="00656598" w:rsidRDefault="00E414C8" w:rsidP="005B0D7F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To report suspected adverse reactions, contact Gilead Sciences, Inc. at 1-800-GILEAD-5 or FDA at 1-800-FDA-1088 or www.fda.gov/medwatch </w:t>
            </w:r>
          </w:p>
        </w:tc>
      </w:tr>
      <w:tr w:rsidR="004F3E23" w14:paraId="3BDFB542" w14:textId="77777777" w:rsidTr="00774DE9">
        <w:tc>
          <w:tcPr>
            <w:tcW w:w="10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55FD9E4" w14:textId="77777777" w:rsidR="004F3E23" w:rsidRDefault="004F3E23" w:rsidP="004F3E23"/>
          <w:p w14:paraId="08AB0266" w14:textId="77777777" w:rsidR="00D04EBE" w:rsidRDefault="00D04EBE" w:rsidP="004F3E23"/>
          <w:p w14:paraId="41502D1E" w14:textId="5BEC6AD9" w:rsidR="00D04EBE" w:rsidRDefault="00D04EBE" w:rsidP="004F3E23"/>
        </w:tc>
      </w:tr>
    </w:tbl>
    <w:p w14:paraId="6DDF4B77" w14:textId="03BE872F" w:rsidR="00E30224" w:rsidRPr="00D04EBE" w:rsidRDefault="00E30224" w:rsidP="00D04EBE">
      <w:pPr>
        <w:autoSpaceDE w:val="0"/>
        <w:autoSpaceDN w:val="0"/>
        <w:adjustRightInd w:val="0"/>
        <w:rPr>
          <w:rFonts w:cstheme="minorHAnsi"/>
          <w:b/>
        </w:rPr>
      </w:pPr>
    </w:p>
    <w:sectPr w:rsidR="00E30224" w:rsidRPr="00D04EBE" w:rsidSect="00AD2853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6A40" w14:textId="77777777" w:rsidR="00B27FA6" w:rsidRDefault="00B27FA6" w:rsidP="00331246">
      <w:r>
        <w:separator/>
      </w:r>
    </w:p>
  </w:endnote>
  <w:endnote w:type="continuationSeparator" w:id="0">
    <w:p w14:paraId="225FE2F9" w14:textId="77777777" w:rsidR="00B27FA6" w:rsidRDefault="00B27FA6" w:rsidP="003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4738" w14:textId="761D2066" w:rsidR="00331246" w:rsidRDefault="00331246">
    <w:pPr>
      <w:pStyle w:val="Footer"/>
    </w:pPr>
    <w:r>
      <w:t xml:space="preserve">Updated </w:t>
    </w:r>
    <w:r w:rsidR="00557948">
      <w:t>June 22</w:t>
    </w:r>
    <w:r w:rsidR="005B0D7F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2DFE" w14:textId="77777777" w:rsidR="00B27FA6" w:rsidRDefault="00B27FA6" w:rsidP="00331246">
      <w:r>
        <w:separator/>
      </w:r>
    </w:p>
  </w:footnote>
  <w:footnote w:type="continuationSeparator" w:id="0">
    <w:p w14:paraId="19D706E6" w14:textId="77777777" w:rsidR="00B27FA6" w:rsidRDefault="00B27FA6" w:rsidP="003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BB49" w14:textId="3A62C2F3" w:rsidR="00B846D2" w:rsidRDefault="00B846D2">
    <w:pPr>
      <w:pStyle w:val="Header"/>
    </w:pPr>
    <w:r>
      <w:rPr>
        <w:noProof/>
        <w:lang w:bidi="ar-SA"/>
      </w:rPr>
      <w:drawing>
        <wp:inline distT="0" distB="0" distL="0" distR="0" wp14:anchorId="35AE3D4A" wp14:editId="1A96AE21">
          <wp:extent cx="2343824" cy="485775"/>
          <wp:effectExtent l="0" t="0" r="0" b="0"/>
          <wp:docPr id="5" name="Picture 5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14" cy="48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DA516" w14:textId="77777777" w:rsidR="00322293" w:rsidRDefault="00322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BE2"/>
    <w:multiLevelType w:val="hybridMultilevel"/>
    <w:tmpl w:val="730ABFBA"/>
    <w:lvl w:ilvl="0" w:tplc="C7988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A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8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4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6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2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A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2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0E2694"/>
    <w:multiLevelType w:val="hybridMultilevel"/>
    <w:tmpl w:val="42681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2491A"/>
    <w:multiLevelType w:val="hybridMultilevel"/>
    <w:tmpl w:val="68F4B278"/>
    <w:lvl w:ilvl="0" w:tplc="DAF23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498"/>
    <w:multiLevelType w:val="hybridMultilevel"/>
    <w:tmpl w:val="19AAF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D14FA"/>
    <w:multiLevelType w:val="hybridMultilevel"/>
    <w:tmpl w:val="DEFAB8B4"/>
    <w:lvl w:ilvl="0" w:tplc="4A4EF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C4F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40672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B00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502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58A6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9EA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5C6E6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1C3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622A60"/>
    <w:multiLevelType w:val="hybridMultilevel"/>
    <w:tmpl w:val="7DC2F612"/>
    <w:lvl w:ilvl="0" w:tplc="DAF234EA">
      <w:start w:val="3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D1C6271"/>
    <w:multiLevelType w:val="hybridMultilevel"/>
    <w:tmpl w:val="C0B6B9AA"/>
    <w:lvl w:ilvl="0" w:tplc="DAF234EA">
      <w:start w:val="3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4"/>
    <w:rsid w:val="00071ADF"/>
    <w:rsid w:val="001149F5"/>
    <w:rsid w:val="00144F63"/>
    <w:rsid w:val="001D114B"/>
    <w:rsid w:val="001F3FCF"/>
    <w:rsid w:val="00233572"/>
    <w:rsid w:val="00241AE5"/>
    <w:rsid w:val="002B7852"/>
    <w:rsid w:val="002E2E78"/>
    <w:rsid w:val="00306F11"/>
    <w:rsid w:val="00307E32"/>
    <w:rsid w:val="00322293"/>
    <w:rsid w:val="00331246"/>
    <w:rsid w:val="00357F8D"/>
    <w:rsid w:val="003B2408"/>
    <w:rsid w:val="00447DC4"/>
    <w:rsid w:val="004F3E23"/>
    <w:rsid w:val="005320D5"/>
    <w:rsid w:val="00557948"/>
    <w:rsid w:val="00587387"/>
    <w:rsid w:val="005B0D7F"/>
    <w:rsid w:val="005F1F60"/>
    <w:rsid w:val="005F66E6"/>
    <w:rsid w:val="006116D9"/>
    <w:rsid w:val="00656598"/>
    <w:rsid w:val="006651DB"/>
    <w:rsid w:val="006E7D2C"/>
    <w:rsid w:val="006F29C9"/>
    <w:rsid w:val="00717F73"/>
    <w:rsid w:val="00727F25"/>
    <w:rsid w:val="00765217"/>
    <w:rsid w:val="00774DE9"/>
    <w:rsid w:val="007A3C4D"/>
    <w:rsid w:val="007B0D03"/>
    <w:rsid w:val="008463B6"/>
    <w:rsid w:val="0086058C"/>
    <w:rsid w:val="0087480A"/>
    <w:rsid w:val="00A97781"/>
    <w:rsid w:val="00AD2853"/>
    <w:rsid w:val="00B13207"/>
    <w:rsid w:val="00B17CF5"/>
    <w:rsid w:val="00B27FA6"/>
    <w:rsid w:val="00B67BA2"/>
    <w:rsid w:val="00B846D2"/>
    <w:rsid w:val="00B86A5F"/>
    <w:rsid w:val="00BA2C9A"/>
    <w:rsid w:val="00BC7960"/>
    <w:rsid w:val="00BC7FC7"/>
    <w:rsid w:val="00BF0DA8"/>
    <w:rsid w:val="00BF72ED"/>
    <w:rsid w:val="00C27838"/>
    <w:rsid w:val="00C353A1"/>
    <w:rsid w:val="00C670BB"/>
    <w:rsid w:val="00CC06E7"/>
    <w:rsid w:val="00CC5456"/>
    <w:rsid w:val="00D04EBE"/>
    <w:rsid w:val="00D57117"/>
    <w:rsid w:val="00D82878"/>
    <w:rsid w:val="00E04FF0"/>
    <w:rsid w:val="00E218D8"/>
    <w:rsid w:val="00E30224"/>
    <w:rsid w:val="00E414C8"/>
    <w:rsid w:val="00E64B53"/>
    <w:rsid w:val="00F20E15"/>
    <w:rsid w:val="00F7150A"/>
    <w:rsid w:val="00FA07F7"/>
    <w:rsid w:val="00FA1D64"/>
    <w:rsid w:val="00FA52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3A87"/>
  <w15:chartTrackingRefBased/>
  <w15:docId w15:val="{8510D934-5C00-4260-A7B5-C345D6A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table" w:styleId="TableGrid">
    <w:name w:val="Table Grid"/>
    <w:basedOn w:val="TableNormal"/>
    <w:uiPriority w:val="39"/>
    <w:rsid w:val="00E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224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E30224"/>
    <w:rPr>
      <w:rFonts w:ascii="Arial" w:eastAsia="Times New Roman" w:hAnsi="Arial" w:cs="Arial"/>
      <w:color w:val="000000"/>
      <w:sz w:val="22"/>
      <w:lang w:bidi="ar-SA"/>
    </w:rPr>
  </w:style>
  <w:style w:type="paragraph" w:customStyle="1" w:styleId="Default">
    <w:name w:val="Default"/>
    <w:rsid w:val="00E30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3022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copre1">
    <w:name w:val="acopre1"/>
    <w:basedOn w:val="DefaultParagraphFont"/>
    <w:rsid w:val="00E30224"/>
  </w:style>
  <w:style w:type="paragraph" w:styleId="BodyText">
    <w:name w:val="Body Text"/>
    <w:basedOn w:val="Normal"/>
    <w:link w:val="BodyTextChar"/>
    <w:uiPriority w:val="1"/>
    <w:qFormat/>
    <w:rsid w:val="00E30224"/>
    <w:pPr>
      <w:widowControl w:val="0"/>
      <w:autoSpaceDE w:val="0"/>
      <w:autoSpaceDN w:val="0"/>
      <w:adjustRightInd w:val="0"/>
      <w:ind w:left="832" w:hanging="36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30224"/>
    <w:rPr>
      <w:rFonts w:ascii="Calibri" w:eastAsia="Times New Roman" w:hAnsi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clinical-care/underlyingcon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Koutsari</dc:creator>
  <cp:keywords/>
  <dc:description/>
  <cp:lastModifiedBy>Pettit, Natasha [UCH]</cp:lastModifiedBy>
  <cp:revision>2</cp:revision>
  <dcterms:created xsi:type="dcterms:W3CDTF">2023-06-22T19:18:00Z</dcterms:created>
  <dcterms:modified xsi:type="dcterms:W3CDTF">2023-06-22T19:18:00Z</dcterms:modified>
</cp:coreProperties>
</file>