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7F" w:rsidRDefault="00C13F7F" w:rsidP="00C13F7F">
      <w:pPr>
        <w:jc w:val="center"/>
        <w:rPr>
          <w:rFonts w:ascii="Source Sans Pro" w:eastAsia="Times New Roman" w:hAnsi="Source Sans Pro" w:cs="Times New Roman"/>
          <w:b/>
          <w:bCs/>
          <w:color w:val="333333"/>
          <w:sz w:val="27"/>
          <w:szCs w:val="27"/>
        </w:rPr>
      </w:pPr>
      <w:r>
        <w:rPr>
          <w:rFonts w:ascii="Source Sans Pro" w:eastAsia="Times New Roman" w:hAnsi="Source Sans Pro" w:cs="Times New Roman"/>
          <w:b/>
          <w:bCs/>
          <w:color w:val="333333"/>
          <w:sz w:val="27"/>
          <w:szCs w:val="27"/>
        </w:rPr>
        <w:t>The University of Chicago Medicine</w:t>
      </w:r>
    </w:p>
    <w:p w:rsidR="00C13F7F" w:rsidRDefault="00C13F7F" w:rsidP="00C13F7F">
      <w:pPr>
        <w:jc w:val="center"/>
        <w:rPr>
          <w:rFonts w:ascii="Source Sans Pro" w:eastAsia="Times New Roman" w:hAnsi="Source Sans Pro" w:cs="Times New Roman"/>
          <w:b/>
          <w:bCs/>
          <w:color w:val="333333"/>
          <w:sz w:val="27"/>
          <w:szCs w:val="27"/>
        </w:rPr>
      </w:pPr>
      <w:r>
        <w:rPr>
          <w:rFonts w:ascii="Source Sans Pro" w:eastAsia="Times New Roman" w:hAnsi="Source Sans Pro" w:cs="Times New Roman"/>
          <w:b/>
          <w:bCs/>
          <w:color w:val="333333"/>
          <w:sz w:val="27"/>
          <w:szCs w:val="27"/>
        </w:rPr>
        <w:t>Chicago, IL</w:t>
      </w:r>
    </w:p>
    <w:p w:rsidR="00C13F7F" w:rsidRDefault="00C13F7F" w:rsidP="007F2D02">
      <w:pPr>
        <w:rPr>
          <w:rFonts w:ascii="Source Sans Pro" w:eastAsia="Times New Roman" w:hAnsi="Source Sans Pro" w:cs="Times New Roman"/>
          <w:b/>
          <w:bCs/>
          <w:color w:val="333333"/>
          <w:sz w:val="27"/>
          <w:szCs w:val="27"/>
        </w:rPr>
      </w:pPr>
    </w:p>
    <w:p w:rsidR="007F2D02" w:rsidRPr="007F2D02" w:rsidRDefault="007F2D02" w:rsidP="007F2D02">
      <w:pPr>
        <w:rPr>
          <w:rFonts w:ascii="Source Sans Pro" w:hAnsi="Source Sans Pro" w:cs="Times New Roman" w:hint="eastAsia"/>
          <w:color w:val="333333"/>
          <w:sz w:val="23"/>
          <w:szCs w:val="23"/>
        </w:rPr>
      </w:pPr>
      <w:r>
        <w:rPr>
          <w:rFonts w:ascii="Source Sans Pro" w:eastAsia="Times New Roman" w:hAnsi="Source Sans Pro" w:cs="Times New Roman"/>
          <w:b/>
          <w:bCs/>
          <w:color w:val="333333"/>
          <w:sz w:val="27"/>
          <w:szCs w:val="27"/>
        </w:rPr>
        <w:t xml:space="preserve">Position: </w:t>
      </w:r>
      <w:r w:rsidRPr="007F2D02">
        <w:rPr>
          <w:rFonts w:ascii="Arial" w:hAnsi="Arial" w:cs="Arial"/>
          <w:b/>
          <w:bCs/>
          <w:color w:val="333333"/>
          <w:sz w:val="20"/>
          <w:szCs w:val="20"/>
        </w:rPr>
        <w:t>Clinical Pharmacy Specialist – HIV</w:t>
      </w:r>
      <w:r>
        <w:rPr>
          <w:rFonts w:ascii="Arial" w:hAnsi="Arial" w:cs="Arial"/>
          <w:b/>
          <w:bCs/>
          <w:color w:val="333333"/>
          <w:sz w:val="20"/>
          <w:szCs w:val="20"/>
        </w:rPr>
        <w:t>/ID Clinic</w:t>
      </w:r>
    </w:p>
    <w:p w:rsidR="007F2D02" w:rsidRDefault="007F2D02" w:rsidP="007F2D02">
      <w:pPr>
        <w:spacing w:before="100" w:beforeAutospacing="1" w:after="135"/>
        <w:outlineLvl w:val="1"/>
        <w:rPr>
          <w:rFonts w:ascii="Source Sans Pro" w:eastAsia="Times New Roman" w:hAnsi="Source Sans Pro" w:cs="Times New Roman"/>
          <w:b/>
          <w:bCs/>
          <w:color w:val="333333"/>
          <w:sz w:val="27"/>
          <w:szCs w:val="27"/>
        </w:rPr>
      </w:pPr>
      <w:r>
        <w:rPr>
          <w:rFonts w:ascii="Source Sans Pro" w:eastAsia="Times New Roman" w:hAnsi="Source Sans Pro" w:cs="Times New Roman"/>
          <w:b/>
          <w:bCs/>
          <w:color w:val="333333"/>
          <w:sz w:val="27"/>
          <w:szCs w:val="27"/>
        </w:rPr>
        <w:t>Position details:</w:t>
      </w:r>
    </w:p>
    <w:p w:rsidR="007F2D02" w:rsidRPr="007F2D02" w:rsidRDefault="007F2D02" w:rsidP="007F2D02">
      <w:pPr>
        <w:spacing w:before="100" w:beforeAutospacing="1" w:after="135"/>
        <w:outlineLvl w:val="1"/>
        <w:rPr>
          <w:rFonts w:ascii="Source Sans Pro" w:eastAsia="Times New Roman" w:hAnsi="Source Sans Pro" w:cs="Times New Roman"/>
          <w:b/>
          <w:bCs/>
          <w:sz w:val="27"/>
          <w:szCs w:val="27"/>
        </w:rPr>
      </w:pPr>
      <w:r w:rsidRPr="007F2D02">
        <w:rPr>
          <w:rFonts w:ascii="Arial" w:eastAsia="Times New Roman" w:hAnsi="Arial" w:cs="Arial"/>
          <w:iCs/>
          <w:sz w:val="20"/>
          <w:szCs w:val="22"/>
        </w:rPr>
        <w:t xml:space="preserve">Specialty medication management services for patients with HIV, including but not limited to assessing patients for appropriate therapy, pursuing medication access and affordability, and performing ongoing patient management </w:t>
      </w:r>
      <w:r>
        <w:rPr>
          <w:rFonts w:ascii="Arial" w:eastAsia="Times New Roman" w:hAnsi="Arial" w:cs="Arial"/>
          <w:iCs/>
          <w:sz w:val="20"/>
          <w:szCs w:val="22"/>
        </w:rPr>
        <w:t xml:space="preserve">and therapy reconciliation </w:t>
      </w:r>
      <w:r w:rsidRPr="007F2D02">
        <w:rPr>
          <w:rFonts w:ascii="Arial" w:eastAsia="Times New Roman" w:hAnsi="Arial" w:cs="Arial"/>
          <w:iCs/>
          <w:sz w:val="20"/>
          <w:szCs w:val="22"/>
        </w:rPr>
        <w:t xml:space="preserve">to drive adherence and maximize clinical outcomes. </w:t>
      </w:r>
      <w:r>
        <w:rPr>
          <w:rFonts w:ascii="Arial" w:eastAsia="Times New Roman" w:hAnsi="Arial" w:cs="Arial"/>
          <w:sz w:val="20"/>
          <w:szCs w:val="22"/>
        </w:rPr>
        <w:t xml:space="preserve">The position </w:t>
      </w:r>
      <w:r w:rsidR="00064F81">
        <w:rPr>
          <w:rFonts w:ascii="Arial" w:eastAsia="Times New Roman" w:hAnsi="Arial" w:cs="Arial"/>
          <w:sz w:val="20"/>
          <w:szCs w:val="22"/>
        </w:rPr>
        <w:t xml:space="preserve">may </w:t>
      </w:r>
      <w:r>
        <w:rPr>
          <w:rFonts w:ascii="Arial" w:eastAsia="Times New Roman" w:hAnsi="Arial" w:cs="Arial"/>
          <w:sz w:val="20"/>
          <w:szCs w:val="22"/>
        </w:rPr>
        <w:t>also include the</w:t>
      </w:r>
      <w:r w:rsidRPr="007F2D02">
        <w:rPr>
          <w:rFonts w:ascii="Arial" w:eastAsia="Times New Roman" w:hAnsi="Arial" w:cs="Arial"/>
          <w:sz w:val="20"/>
          <w:szCs w:val="22"/>
        </w:rPr>
        <w:t xml:space="preserve"> additional opportunity to aid in antimicrobial management for non-HIV patient populations in the outpatient setting, provide oversight of outpatient parenteral antibiotic therapy (OPAT) monitoring, and to partake in implementation of antimicrobial stewardship in the clinic setting. </w:t>
      </w:r>
    </w:p>
    <w:p w:rsidR="007F2D02" w:rsidRPr="007F2D02" w:rsidRDefault="007F2D02" w:rsidP="007F2D02">
      <w:pPr>
        <w:spacing w:before="100" w:beforeAutospacing="1" w:after="135"/>
        <w:outlineLvl w:val="1"/>
        <w:rPr>
          <w:rFonts w:ascii="Source Sans Pro" w:eastAsia="Times New Roman" w:hAnsi="Source Sans Pro" w:cs="Times New Roman"/>
          <w:b/>
          <w:bCs/>
          <w:color w:val="333333"/>
          <w:sz w:val="27"/>
          <w:szCs w:val="27"/>
        </w:rPr>
      </w:pPr>
      <w:r>
        <w:rPr>
          <w:rFonts w:ascii="Source Sans Pro" w:eastAsia="Times New Roman" w:hAnsi="Source Sans Pro" w:cs="Times New Roman"/>
          <w:b/>
          <w:bCs/>
          <w:color w:val="333333"/>
          <w:sz w:val="27"/>
          <w:szCs w:val="27"/>
        </w:rPr>
        <w:t xml:space="preserve">General </w:t>
      </w:r>
      <w:r w:rsidRPr="007F2D02">
        <w:rPr>
          <w:rFonts w:ascii="Source Sans Pro" w:eastAsia="Times New Roman" w:hAnsi="Source Sans Pro" w:cs="Times New Roman"/>
          <w:b/>
          <w:bCs/>
          <w:color w:val="333333"/>
          <w:sz w:val="27"/>
          <w:szCs w:val="27"/>
        </w:rPr>
        <w:t>Job Description</w:t>
      </w:r>
      <w:bookmarkStart w:id="0" w:name="_GoBack"/>
      <w:bookmarkEnd w:id="0"/>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b/>
          <w:bCs/>
          <w:color w:val="333333"/>
          <w:sz w:val="20"/>
          <w:szCs w:val="20"/>
        </w:rPr>
        <w:t>Bring Your Passion to the Forefront:</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 </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 xml:space="preserve">Join one of the nation’s most comprehensive academic medical centers, University of Chicago Medicine, in a new and innovative role as a Clinical Pharmacy Specialist – HIV, Cardiology, </w:t>
      </w:r>
      <w:proofErr w:type="gramStart"/>
      <w:r w:rsidRPr="007F2D02">
        <w:rPr>
          <w:rFonts w:ascii="Arial" w:hAnsi="Arial" w:cs="Arial"/>
          <w:color w:val="333333"/>
          <w:sz w:val="20"/>
          <w:szCs w:val="20"/>
        </w:rPr>
        <w:t>Pulmonary</w:t>
      </w:r>
      <w:proofErr w:type="gramEnd"/>
      <w:r w:rsidRPr="007F2D02">
        <w:rPr>
          <w:rFonts w:ascii="Arial" w:hAnsi="Arial" w:cs="Arial"/>
          <w:color w:val="333333"/>
          <w:sz w:val="20"/>
          <w:szCs w:val="20"/>
        </w:rPr>
        <w:t xml:space="preserve"> Fibrosis. Clinical Pharmacist Specialists are registered pharmacists who assume responsibility and accountability for the provision of safe, effective, and prompt medication therapy.  Through various assignments within the department, they provide support of centralized and decentralized medication-use systems as well as deliver optimal medication therapy to patients with a broad range of disease states.  Clinical Pharmacist Specialists proficiently provide direct patient-centered care and integrated pharmacy operational services in a decentralized practice setting with physicians, nurses, and other hospital personnel.  These clinicians are aligned with target interdisciplinary programs and specialty services to deliver medication therapy management within specialty patient care services and to ensure pharmaceutical care programs are appropriately integrated throughout the institution.  In these clinical roles, Clinical Pharmacist Specialists participate in all necessary aspects of the medication-use system while providing comprehensive and individualized pharmaceutical care to the patients in their assigned areas.  Pharmaceutical care services include but are not limited to assessing patient needs, incorporating age and disease specific characteristics into drug therapy and patient education, adjusting care according to patient response, and providing clinical interventions to detect, mitigate, and prevent medication adverse events.  Clinical Pharmacist Specialists serve as departmental resources and liaisons to other departments, hospital personnel, or external groups.  They proficiently manage and facilitate the appropriate use of medications according to professional and regulatory standards.  They also conduct clinical research and practice advancement projects as well as patient care quality and regulatory compliance initiatives designed to improve medication-use processes or pharmacy practice.  Clinical Pharmacist Specialists provide medication and practice-related education/training and actively serve as preceptors for doctor of pharmacy students and pharmacy residents.</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 </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i/>
          <w:iCs/>
          <w:color w:val="333333"/>
          <w:sz w:val="20"/>
          <w:szCs w:val="20"/>
        </w:rPr>
        <w:t>You'll thrive in this position if you:</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 </w:t>
      </w:r>
    </w:p>
    <w:p w:rsidR="007F2D02" w:rsidRPr="007F2D02" w:rsidRDefault="007F2D02" w:rsidP="007F2D02">
      <w:pPr>
        <w:numPr>
          <w:ilvl w:val="0"/>
          <w:numId w:val="1"/>
        </w:numPr>
        <w:spacing w:before="100" w:beforeAutospacing="1" w:after="100" w:afterAutospacing="1"/>
        <w:ind w:left="1440"/>
        <w:rPr>
          <w:rFonts w:ascii="Source Sans Pro" w:eastAsia="Times New Roman" w:hAnsi="Source Sans Pro" w:cs="Times New Roman"/>
          <w:color w:val="333333"/>
          <w:sz w:val="23"/>
          <w:szCs w:val="23"/>
        </w:rPr>
      </w:pPr>
      <w:r w:rsidRPr="007F2D02">
        <w:rPr>
          <w:rFonts w:ascii="Arial" w:eastAsia="Times New Roman" w:hAnsi="Arial" w:cs="Arial"/>
          <w:b/>
          <w:bCs/>
          <w:color w:val="333333"/>
          <w:sz w:val="20"/>
          <w:szCs w:val="20"/>
        </w:rPr>
        <w:t>Strengthen Collaboration</w:t>
      </w:r>
      <w:r w:rsidRPr="007F2D02">
        <w:rPr>
          <w:rFonts w:ascii="Arial" w:eastAsia="Times New Roman" w:hAnsi="Arial" w:cs="Arial"/>
          <w:color w:val="333333"/>
          <w:sz w:val="20"/>
          <w:szCs w:val="20"/>
        </w:rPr>
        <w:t xml:space="preserve">– you put the organizations interests and customer needs ahead of your own. You identify and create effective working collaborations with others; establish good interpersonal relationships by helping people feel valued, appreciated, and offer support. You present sound reasons </w:t>
      </w:r>
      <w:r w:rsidRPr="007F2D02">
        <w:rPr>
          <w:rFonts w:ascii="Arial" w:eastAsia="Times New Roman" w:hAnsi="Arial" w:cs="Arial"/>
          <w:color w:val="333333"/>
          <w:sz w:val="20"/>
          <w:szCs w:val="20"/>
        </w:rPr>
        <w:lastRenderedPageBreak/>
        <w:t>and recommendations that link to the needs of those impacted; obtain agreement to support ideas; leverage win-win solutions to ensure others take action.</w:t>
      </w:r>
    </w:p>
    <w:p w:rsidR="007F2D02" w:rsidRPr="007F2D02" w:rsidRDefault="007F2D02" w:rsidP="007F2D02">
      <w:pPr>
        <w:numPr>
          <w:ilvl w:val="0"/>
          <w:numId w:val="1"/>
        </w:numPr>
        <w:spacing w:before="100" w:beforeAutospacing="1" w:after="100" w:afterAutospacing="1"/>
        <w:ind w:left="1440"/>
        <w:rPr>
          <w:rFonts w:ascii="Source Sans Pro" w:eastAsia="Times New Roman" w:hAnsi="Source Sans Pro" w:cs="Times New Roman"/>
          <w:color w:val="333333"/>
          <w:sz w:val="23"/>
          <w:szCs w:val="23"/>
        </w:rPr>
      </w:pPr>
      <w:r w:rsidRPr="007F2D02">
        <w:rPr>
          <w:rFonts w:ascii="Arial" w:eastAsia="Times New Roman" w:hAnsi="Arial" w:cs="Arial"/>
          <w:b/>
          <w:bCs/>
          <w:color w:val="333333"/>
          <w:sz w:val="20"/>
          <w:szCs w:val="20"/>
        </w:rPr>
        <w:t>Make Thoughtful Decisions</w:t>
      </w:r>
      <w:r w:rsidRPr="007F2D02">
        <w:rPr>
          <w:rFonts w:ascii="Arial" w:eastAsia="Times New Roman" w:hAnsi="Arial" w:cs="Arial"/>
          <w:color w:val="333333"/>
          <w:sz w:val="20"/>
          <w:szCs w:val="20"/>
        </w:rPr>
        <w:t>– you identify issues, problems and opportunities; proactively recognize the need for improvement. You work with others to develop a sense of common purpose; understand different perspectives on issues; gathers and examines information available. You generate alternatives - Create relevant options, including financial and resource implications, for addressing problems and opportunities. You select appropriate action - Formulate clear decision criteria; evaluates options by considering implications and consequences; chooses an effective option. You commit to implementation and work with a sense of urgency and a bias for action to implement the decision.</w:t>
      </w:r>
    </w:p>
    <w:p w:rsidR="007F2D02" w:rsidRPr="007F2D02" w:rsidRDefault="007F2D02" w:rsidP="007F2D02">
      <w:pPr>
        <w:numPr>
          <w:ilvl w:val="0"/>
          <w:numId w:val="1"/>
        </w:numPr>
        <w:spacing w:before="100" w:beforeAutospacing="1" w:after="100" w:afterAutospacing="1"/>
        <w:ind w:left="1440"/>
        <w:rPr>
          <w:rFonts w:ascii="Source Sans Pro" w:eastAsia="Times New Roman" w:hAnsi="Source Sans Pro" w:cs="Times New Roman"/>
          <w:color w:val="333333"/>
          <w:sz w:val="23"/>
          <w:szCs w:val="23"/>
        </w:rPr>
      </w:pPr>
      <w:r w:rsidRPr="007F2D02">
        <w:rPr>
          <w:rFonts w:ascii="Arial" w:eastAsia="Times New Roman" w:hAnsi="Arial" w:cs="Arial"/>
          <w:b/>
          <w:bCs/>
          <w:color w:val="333333"/>
          <w:sz w:val="20"/>
          <w:szCs w:val="20"/>
        </w:rPr>
        <w:t>Promote Innovation</w:t>
      </w:r>
      <w:r w:rsidRPr="007F2D02">
        <w:rPr>
          <w:rFonts w:ascii="Arial" w:eastAsia="Times New Roman" w:hAnsi="Arial" w:cs="Arial"/>
          <w:color w:val="333333"/>
          <w:sz w:val="20"/>
          <w:szCs w:val="20"/>
        </w:rPr>
        <w:t> – you combine ideas in a unique way or make connections between ideas that may appear to be different; explore situations from multiple perspectives, seek alternative ways to define problems. You are open to diverse thoughts and approaches by others. You test solutions, gather feedback on effectiveness, review impact on the results and modify appropriately to product expected results.</w:t>
      </w:r>
    </w:p>
    <w:p w:rsidR="007F2D02" w:rsidRPr="007F2D02" w:rsidRDefault="007F2D02" w:rsidP="007F2D02">
      <w:pPr>
        <w:numPr>
          <w:ilvl w:val="0"/>
          <w:numId w:val="1"/>
        </w:numPr>
        <w:spacing w:before="100" w:beforeAutospacing="1" w:after="100" w:afterAutospacing="1"/>
        <w:ind w:left="1440"/>
        <w:rPr>
          <w:rFonts w:ascii="Source Sans Pro" w:eastAsia="Times New Roman" w:hAnsi="Source Sans Pro" w:cs="Times New Roman"/>
          <w:color w:val="333333"/>
          <w:sz w:val="23"/>
          <w:szCs w:val="23"/>
        </w:rPr>
      </w:pPr>
      <w:r w:rsidRPr="007F2D02">
        <w:rPr>
          <w:rFonts w:ascii="Arial" w:eastAsia="Times New Roman" w:hAnsi="Arial" w:cs="Arial"/>
          <w:b/>
          <w:bCs/>
          <w:color w:val="333333"/>
          <w:sz w:val="20"/>
          <w:szCs w:val="20"/>
        </w:rPr>
        <w:t>Communicate with Impact</w:t>
      </w:r>
      <w:r w:rsidRPr="007F2D02">
        <w:rPr>
          <w:rFonts w:ascii="Arial" w:eastAsia="Times New Roman" w:hAnsi="Arial" w:cs="Arial"/>
          <w:color w:val="333333"/>
          <w:sz w:val="20"/>
          <w:szCs w:val="20"/>
        </w:rPr>
        <w:t>– you focus on the message of others, provide undivided attention, and defer judgment. You convey messages logically, simply, and with confidence. You check for understanding by asking questions, seeking clarity and responding accordingly.</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br/>
        <w:t>QUALIFICATIONS</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 Education:</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1) Graduate of an ACPE accredited College of Pharmacy.</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2) Doctor of Pharmacy or other advanced degree highly preferred.</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 </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Experience:</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1) Completion of ASHP accredited PGY-1 Pharmacy Residency required and PGY-2</w:t>
      </w:r>
      <w:proofErr w:type="gramStart"/>
      <w:r w:rsidRPr="007F2D02">
        <w:rPr>
          <w:rFonts w:ascii="Arial" w:hAnsi="Arial" w:cs="Arial"/>
          <w:color w:val="333333"/>
          <w:sz w:val="20"/>
          <w:szCs w:val="20"/>
        </w:rPr>
        <w:t>  Pharmacy</w:t>
      </w:r>
      <w:proofErr w:type="gramEnd"/>
      <w:r w:rsidRPr="007F2D02">
        <w:rPr>
          <w:rFonts w:ascii="Arial" w:hAnsi="Arial" w:cs="Arial"/>
          <w:color w:val="333333"/>
          <w:sz w:val="20"/>
          <w:szCs w:val="20"/>
        </w:rPr>
        <w:t xml:space="preserve"> Residency  highly preferred.</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2) Clinical pharmacy experience (2-4 years) in a hospital setting preferred (required if no PGY-2 residency).</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3) Exceptional aptitude or knowledge may be considered in lieu of experience.  Extensive clinical experience and development may be considered in lieu of formal training.</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 </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Knowledge &amp; Attributes:</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1) Knowledge of contemporary hospital/clinical practice and service.</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2) Knowledge and understanding of general hospital operations and regulatory compliance.</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3) Strong written and verbal communication skills.</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4) Ability to interact constructively with supervisors, peers, and support personnel.</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5) Ability to integrate clinical and distributive pharmacy services with quality improvement, teaching, research, and professional development activities.</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6) Significant general clinical knowledge and expertise in traditional therapeutics and patient centered care.</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7) Significant knowledge and expertise in advanced pharmacy practice, specialty medication therapy management, and specialty evidence-based medicine in area appropriate for clinical assignments.</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 xml:space="preserve">8) Strong teaching and </w:t>
      </w:r>
      <w:proofErr w:type="spellStart"/>
      <w:r w:rsidRPr="007F2D02">
        <w:rPr>
          <w:rFonts w:ascii="Arial" w:hAnsi="Arial" w:cs="Arial"/>
          <w:color w:val="333333"/>
          <w:sz w:val="20"/>
          <w:szCs w:val="20"/>
        </w:rPr>
        <w:t>precepting</w:t>
      </w:r>
      <w:proofErr w:type="spellEnd"/>
      <w:r w:rsidRPr="007F2D02">
        <w:rPr>
          <w:rFonts w:ascii="Arial" w:hAnsi="Arial" w:cs="Arial"/>
          <w:color w:val="333333"/>
          <w:sz w:val="20"/>
          <w:szCs w:val="20"/>
        </w:rPr>
        <w:t xml:space="preserve"> skills and expertise in experiential training.</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 </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Relationships:</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1) Clinical Pharmacist Specialists practice pharmacy at UCMC under the authority bestowed to them by the UCMC Pharmacist in Charge as licensed according to the Illinois Pharmacy Practice Act (225 ILCS 85/).</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lastRenderedPageBreak/>
        <w:t>2) Clinical Pharmacist Specialists report directly to a manager or director within the Department of Pharmacy Services and work collaboratively with administrative staff, pharmacist staff, and technical staff to support department initiatives.             </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3) Pharmacist Specialists have frequent interactions with physicians, nurses, other members of the healthcare team, students, residents, and external professional groups.</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4) Clinical Pharmacist Specialists supervise all support staff (i.e. pharmacy technicians) as needed during the normal course of the work day.</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 </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 </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LICENSES/CERTIFICATIONS</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1) Eligible for licensure as a pharmacist in the state of Illinois or eligible (complete licensure process within 60 days of employment).</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2) ASHP accredited PGY-1 Pharmacy Residency required and PGY-2</w:t>
      </w:r>
      <w:proofErr w:type="gramStart"/>
      <w:r w:rsidRPr="007F2D02">
        <w:rPr>
          <w:rFonts w:ascii="Arial" w:hAnsi="Arial" w:cs="Arial"/>
          <w:color w:val="333333"/>
          <w:sz w:val="20"/>
          <w:szCs w:val="20"/>
        </w:rPr>
        <w:t>  Pharmacy</w:t>
      </w:r>
      <w:proofErr w:type="gramEnd"/>
      <w:r w:rsidRPr="007F2D02">
        <w:rPr>
          <w:rFonts w:ascii="Arial" w:hAnsi="Arial" w:cs="Arial"/>
          <w:color w:val="333333"/>
          <w:sz w:val="20"/>
          <w:szCs w:val="20"/>
        </w:rPr>
        <w:t xml:space="preserve"> Residency  highly preferred.</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color w:val="333333"/>
          <w:sz w:val="20"/>
          <w:szCs w:val="20"/>
        </w:rPr>
        <w:t>3) Board Certification in area of expertise is required within 18 months of hire (</w:t>
      </w:r>
      <w:proofErr w:type="spellStart"/>
      <w:r w:rsidRPr="007F2D02">
        <w:rPr>
          <w:rFonts w:ascii="Arial" w:hAnsi="Arial" w:cs="Arial"/>
          <w:color w:val="333333"/>
          <w:sz w:val="20"/>
          <w:szCs w:val="20"/>
        </w:rPr>
        <w:t>ie</w:t>
      </w:r>
      <w:proofErr w:type="spellEnd"/>
      <w:r w:rsidRPr="007F2D02">
        <w:rPr>
          <w:rFonts w:ascii="Arial" w:hAnsi="Arial" w:cs="Arial"/>
          <w:color w:val="333333"/>
          <w:sz w:val="20"/>
          <w:szCs w:val="20"/>
        </w:rPr>
        <w:t xml:space="preserve">. </w:t>
      </w:r>
      <w:proofErr w:type="gramStart"/>
      <w:r w:rsidRPr="007F2D02">
        <w:rPr>
          <w:rFonts w:ascii="Arial" w:hAnsi="Arial" w:cs="Arial"/>
          <w:color w:val="333333"/>
          <w:sz w:val="20"/>
          <w:szCs w:val="20"/>
        </w:rPr>
        <w:t>BCPS, BCOP, BCACP, etc.).</w:t>
      </w:r>
      <w:proofErr w:type="gramEnd"/>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b/>
          <w:bCs/>
          <w:color w:val="333333"/>
          <w:sz w:val="20"/>
          <w:szCs w:val="20"/>
        </w:rPr>
        <w:t> </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b/>
          <w:bCs/>
          <w:color w:val="333333"/>
          <w:sz w:val="20"/>
          <w:szCs w:val="20"/>
        </w:rPr>
        <w:t>Why Join Us:</w:t>
      </w:r>
    </w:p>
    <w:p w:rsidR="007F2D02" w:rsidRPr="007F2D02" w:rsidRDefault="007F2D02" w:rsidP="007F2D02">
      <w:pPr>
        <w:rPr>
          <w:rFonts w:ascii="Source Sans Pro" w:hAnsi="Source Sans Pro" w:cs="Times New Roman" w:hint="eastAsia"/>
          <w:color w:val="333333"/>
          <w:sz w:val="23"/>
          <w:szCs w:val="23"/>
        </w:rPr>
      </w:pPr>
      <w:r w:rsidRPr="007F2D02">
        <w:rPr>
          <w:rFonts w:ascii="Arial" w:hAnsi="Arial" w:cs="Arial"/>
          <w:i/>
          <w:iCs/>
          <w:color w:val="333333"/>
          <w:sz w:val="20"/>
          <w:szCs w:val="20"/>
        </w:rPr>
        <w:t> </w:t>
      </w:r>
    </w:p>
    <w:p w:rsidR="007F2D02" w:rsidRDefault="007F2D02" w:rsidP="007F2D02">
      <w:pPr>
        <w:rPr>
          <w:rFonts w:ascii="Arial" w:hAnsi="Arial" w:cs="Arial"/>
          <w:i/>
          <w:iCs/>
          <w:color w:val="333333"/>
          <w:sz w:val="20"/>
          <w:szCs w:val="20"/>
        </w:rPr>
      </w:pPr>
      <w:r w:rsidRPr="007F2D02">
        <w:rPr>
          <w:rFonts w:ascii="Arial" w:hAnsi="Arial" w:cs="Arial"/>
          <w:i/>
          <w:iCs/>
          <w:color w:val="333333"/>
          <w:sz w:val="20"/>
          <w:szCs w:val="20"/>
        </w:rPr>
        <w:t>We’ve been at the forefront of medicine since 1899. We provide superior healthcare with compassion, always mindful that each patient is a person, an individual. To accomplish this, we need employees with passion, talent and commitment… with patients and with each other. We’re in this together: working to advance medical innovation, serve the health needs of the community, and move our collective knowledge forward. If you’d like to add enriching human life to your profile, The University of Chicago Medicine is for you. Here at the forefront, we’re doing work that really matters. Join us. Bring your passion</w:t>
      </w:r>
    </w:p>
    <w:p w:rsidR="002C0A9E" w:rsidRDefault="002C0A9E" w:rsidP="007F2D02">
      <w:pPr>
        <w:rPr>
          <w:rFonts w:ascii="Arial" w:hAnsi="Arial" w:cs="Arial"/>
          <w:i/>
          <w:iCs/>
          <w:color w:val="333333"/>
          <w:sz w:val="20"/>
          <w:szCs w:val="20"/>
        </w:rPr>
      </w:pPr>
    </w:p>
    <w:p w:rsidR="003D37DD" w:rsidRDefault="003D37DD" w:rsidP="007F2D02">
      <w:pPr>
        <w:rPr>
          <w:rFonts w:ascii="Arial" w:hAnsi="Arial" w:cs="Arial"/>
          <w:b/>
          <w:iCs/>
          <w:color w:val="333333"/>
          <w:sz w:val="20"/>
          <w:szCs w:val="20"/>
          <w:u w:val="single"/>
        </w:rPr>
      </w:pPr>
    </w:p>
    <w:p w:rsidR="002C0A9E" w:rsidRPr="003D37DD" w:rsidRDefault="002C0A9E" w:rsidP="007F2D02">
      <w:pPr>
        <w:rPr>
          <w:rFonts w:ascii="Arial" w:hAnsi="Arial" w:cs="Arial"/>
          <w:b/>
          <w:iCs/>
          <w:color w:val="333333"/>
          <w:sz w:val="20"/>
          <w:szCs w:val="20"/>
          <w:u w:val="single"/>
        </w:rPr>
      </w:pPr>
      <w:r w:rsidRPr="003D37DD">
        <w:rPr>
          <w:rFonts w:ascii="Arial" w:hAnsi="Arial" w:cs="Arial"/>
          <w:b/>
          <w:iCs/>
          <w:color w:val="333333"/>
          <w:sz w:val="20"/>
          <w:szCs w:val="20"/>
          <w:u w:val="single"/>
        </w:rPr>
        <w:t>If interested in this position, please contact:</w:t>
      </w:r>
    </w:p>
    <w:p w:rsidR="00AC4F97" w:rsidRPr="00AC4F97" w:rsidRDefault="00AC4F97" w:rsidP="00AC4F97">
      <w:pPr>
        <w:rPr>
          <w:rFonts w:ascii="Arial" w:hAnsi="Arial" w:cs="Arial"/>
          <w:color w:val="333333"/>
          <w:sz w:val="20"/>
          <w:szCs w:val="20"/>
        </w:rPr>
      </w:pPr>
      <w:r w:rsidRPr="00AC4F97">
        <w:rPr>
          <w:rFonts w:ascii="Arial" w:hAnsi="Arial" w:cs="Arial"/>
          <w:color w:val="333333"/>
          <w:sz w:val="20"/>
          <w:szCs w:val="20"/>
        </w:rPr>
        <w:t xml:space="preserve">Denise </w:t>
      </w:r>
      <w:proofErr w:type="spellStart"/>
      <w:r w:rsidRPr="00AC4F97">
        <w:rPr>
          <w:rFonts w:ascii="Arial" w:hAnsi="Arial" w:cs="Arial"/>
          <w:color w:val="333333"/>
          <w:sz w:val="20"/>
          <w:szCs w:val="20"/>
        </w:rPr>
        <w:t>Scarpelli</w:t>
      </w:r>
      <w:proofErr w:type="spellEnd"/>
      <w:r w:rsidRPr="00AC4F97">
        <w:rPr>
          <w:rFonts w:ascii="Arial" w:hAnsi="Arial" w:cs="Arial"/>
          <w:color w:val="333333"/>
          <w:sz w:val="20"/>
          <w:szCs w:val="20"/>
        </w:rPr>
        <w:t xml:space="preserve">, </w:t>
      </w:r>
      <w:proofErr w:type="spellStart"/>
      <w:r w:rsidRPr="00AC4F97">
        <w:rPr>
          <w:rFonts w:ascii="Arial" w:hAnsi="Arial" w:cs="Arial"/>
          <w:color w:val="333333"/>
          <w:sz w:val="20"/>
          <w:szCs w:val="20"/>
        </w:rPr>
        <w:t>PharmD</w:t>
      </w:r>
      <w:proofErr w:type="spellEnd"/>
    </w:p>
    <w:p w:rsidR="00AC4F97" w:rsidRPr="00AC4F97" w:rsidRDefault="00AC4F97" w:rsidP="00AC4F97">
      <w:pPr>
        <w:rPr>
          <w:rFonts w:ascii="Arial" w:hAnsi="Arial" w:cs="Arial"/>
          <w:color w:val="333333"/>
          <w:sz w:val="20"/>
          <w:szCs w:val="20"/>
        </w:rPr>
      </w:pPr>
      <w:r w:rsidRPr="00AC4F97">
        <w:rPr>
          <w:rFonts w:ascii="Arial" w:hAnsi="Arial" w:cs="Arial"/>
          <w:color w:val="333333"/>
          <w:sz w:val="20"/>
          <w:szCs w:val="20"/>
        </w:rPr>
        <w:t>Executive Director, Ambulatory Pharmacy Business and Development</w:t>
      </w:r>
    </w:p>
    <w:p w:rsidR="00AC4F97" w:rsidRPr="00AC4F97" w:rsidRDefault="00AC4F97" w:rsidP="00AC4F97">
      <w:pPr>
        <w:rPr>
          <w:rFonts w:ascii="Arial" w:hAnsi="Arial" w:cs="Arial"/>
          <w:color w:val="333333"/>
          <w:sz w:val="20"/>
          <w:szCs w:val="20"/>
        </w:rPr>
      </w:pPr>
      <w:proofErr w:type="spellStart"/>
      <w:r w:rsidRPr="00AC4F97">
        <w:rPr>
          <w:rFonts w:ascii="Arial" w:hAnsi="Arial" w:cs="Arial"/>
          <w:color w:val="333333"/>
          <w:sz w:val="20"/>
          <w:szCs w:val="20"/>
        </w:rPr>
        <w:t>UChicago</w:t>
      </w:r>
      <w:proofErr w:type="spellEnd"/>
      <w:r w:rsidRPr="00AC4F97">
        <w:rPr>
          <w:rFonts w:ascii="Arial" w:hAnsi="Arial" w:cs="Arial"/>
          <w:color w:val="333333"/>
          <w:sz w:val="20"/>
          <w:szCs w:val="20"/>
        </w:rPr>
        <w:t xml:space="preserve"> Medicine</w:t>
      </w:r>
    </w:p>
    <w:p w:rsidR="00AC4F97" w:rsidRPr="00AC4F97" w:rsidRDefault="00AC4F97" w:rsidP="00AC4F97">
      <w:pPr>
        <w:rPr>
          <w:rFonts w:ascii="Arial" w:hAnsi="Arial" w:cs="Arial"/>
          <w:color w:val="333333"/>
          <w:sz w:val="20"/>
          <w:szCs w:val="20"/>
        </w:rPr>
      </w:pPr>
      <w:r w:rsidRPr="00AC4F97">
        <w:rPr>
          <w:rFonts w:ascii="Arial" w:hAnsi="Arial" w:cs="Arial"/>
          <w:color w:val="333333"/>
          <w:sz w:val="20"/>
          <w:szCs w:val="20"/>
        </w:rPr>
        <w:t>5841 S. Maryland Ave. | Rm. TW001A, MC0010 | Chicago, IL</w:t>
      </w:r>
    </w:p>
    <w:p w:rsidR="00AC4F97" w:rsidRPr="00AC4F97" w:rsidRDefault="00AC4F97" w:rsidP="00AC4F97">
      <w:pPr>
        <w:rPr>
          <w:rFonts w:ascii="Arial" w:hAnsi="Arial" w:cs="Arial"/>
          <w:color w:val="333333"/>
          <w:sz w:val="20"/>
          <w:szCs w:val="20"/>
        </w:rPr>
      </w:pPr>
      <w:r w:rsidRPr="00AC4F97">
        <w:rPr>
          <w:rFonts w:ascii="Arial" w:hAnsi="Arial" w:cs="Arial"/>
          <w:color w:val="333333"/>
          <w:sz w:val="20"/>
          <w:szCs w:val="20"/>
        </w:rPr>
        <w:t>Office: 773-834-5601</w:t>
      </w:r>
    </w:p>
    <w:p w:rsidR="00AC4F97" w:rsidRPr="00AC4F97" w:rsidRDefault="00AC4F97" w:rsidP="00AC4F97">
      <w:pPr>
        <w:rPr>
          <w:rFonts w:ascii="Arial" w:hAnsi="Arial" w:cs="Arial"/>
          <w:color w:val="333333"/>
          <w:sz w:val="20"/>
          <w:szCs w:val="20"/>
        </w:rPr>
      </w:pPr>
      <w:r w:rsidRPr="00AC4F97">
        <w:rPr>
          <w:rFonts w:ascii="Arial" w:hAnsi="Arial" w:cs="Arial"/>
          <w:color w:val="333333"/>
          <w:sz w:val="20"/>
          <w:szCs w:val="20"/>
        </w:rPr>
        <w:t>Mobile: 312-576-7823</w:t>
      </w:r>
    </w:p>
    <w:p w:rsidR="002C0A9E" w:rsidRPr="002C0A9E" w:rsidRDefault="00AC4F97" w:rsidP="00AC4F97">
      <w:pPr>
        <w:rPr>
          <w:rFonts w:ascii="Source Sans Pro" w:hAnsi="Source Sans Pro" w:cs="Times New Roman" w:hint="eastAsia"/>
          <w:color w:val="333333"/>
          <w:sz w:val="23"/>
          <w:szCs w:val="23"/>
        </w:rPr>
      </w:pPr>
      <w:r w:rsidRPr="00AC4F97">
        <w:rPr>
          <w:rFonts w:ascii="Arial" w:hAnsi="Arial" w:cs="Arial"/>
          <w:color w:val="333333"/>
          <w:sz w:val="20"/>
          <w:szCs w:val="20"/>
        </w:rPr>
        <w:t>E-mail: Denise.scarpelli@uchospitals.edu</w:t>
      </w:r>
    </w:p>
    <w:p w:rsidR="00715D98" w:rsidRDefault="00715D98"/>
    <w:sectPr w:rsidR="00715D98" w:rsidSect="00BB5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ource Sans 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C00F9"/>
    <w:multiLevelType w:val="multilevel"/>
    <w:tmpl w:val="14CE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02"/>
    <w:rsid w:val="00064F81"/>
    <w:rsid w:val="002C0A9E"/>
    <w:rsid w:val="003D37DD"/>
    <w:rsid w:val="00715D98"/>
    <w:rsid w:val="007F2D02"/>
    <w:rsid w:val="00AC4F97"/>
    <w:rsid w:val="00BB54B1"/>
    <w:rsid w:val="00C1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2D0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2D02"/>
    <w:rPr>
      <w:rFonts w:ascii="Times" w:hAnsi="Times"/>
      <w:b/>
      <w:bCs/>
      <w:sz w:val="36"/>
      <w:szCs w:val="36"/>
    </w:rPr>
  </w:style>
  <w:style w:type="paragraph" w:styleId="NormalWeb">
    <w:name w:val="Normal (Web)"/>
    <w:basedOn w:val="Normal"/>
    <w:uiPriority w:val="99"/>
    <w:semiHidden/>
    <w:unhideWhenUsed/>
    <w:rsid w:val="007F2D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F2D02"/>
    <w:rPr>
      <w:b/>
      <w:bCs/>
    </w:rPr>
  </w:style>
  <w:style w:type="character" w:customStyle="1" w:styleId="apple-converted-space">
    <w:name w:val="apple-converted-space"/>
    <w:basedOn w:val="DefaultParagraphFont"/>
    <w:rsid w:val="007F2D02"/>
  </w:style>
  <w:style w:type="character" w:styleId="Emphasis">
    <w:name w:val="Emphasis"/>
    <w:basedOn w:val="DefaultParagraphFont"/>
    <w:uiPriority w:val="20"/>
    <w:qFormat/>
    <w:rsid w:val="007F2D02"/>
    <w:rPr>
      <w:i/>
      <w:iCs/>
    </w:rPr>
  </w:style>
  <w:style w:type="paragraph" w:styleId="BalloonText">
    <w:name w:val="Balloon Text"/>
    <w:basedOn w:val="Normal"/>
    <w:link w:val="BalloonTextChar"/>
    <w:uiPriority w:val="99"/>
    <w:semiHidden/>
    <w:unhideWhenUsed/>
    <w:rsid w:val="007F2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D0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2D0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2D02"/>
    <w:rPr>
      <w:rFonts w:ascii="Times" w:hAnsi="Times"/>
      <w:b/>
      <w:bCs/>
      <w:sz w:val="36"/>
      <w:szCs w:val="36"/>
    </w:rPr>
  </w:style>
  <w:style w:type="paragraph" w:styleId="NormalWeb">
    <w:name w:val="Normal (Web)"/>
    <w:basedOn w:val="Normal"/>
    <w:uiPriority w:val="99"/>
    <w:semiHidden/>
    <w:unhideWhenUsed/>
    <w:rsid w:val="007F2D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F2D02"/>
    <w:rPr>
      <w:b/>
      <w:bCs/>
    </w:rPr>
  </w:style>
  <w:style w:type="character" w:customStyle="1" w:styleId="apple-converted-space">
    <w:name w:val="apple-converted-space"/>
    <w:basedOn w:val="DefaultParagraphFont"/>
    <w:rsid w:val="007F2D02"/>
  </w:style>
  <w:style w:type="character" w:styleId="Emphasis">
    <w:name w:val="Emphasis"/>
    <w:basedOn w:val="DefaultParagraphFont"/>
    <w:uiPriority w:val="20"/>
    <w:qFormat/>
    <w:rsid w:val="007F2D02"/>
    <w:rPr>
      <w:i/>
      <w:iCs/>
    </w:rPr>
  </w:style>
  <w:style w:type="paragraph" w:styleId="BalloonText">
    <w:name w:val="Balloon Text"/>
    <w:basedOn w:val="Normal"/>
    <w:link w:val="BalloonTextChar"/>
    <w:uiPriority w:val="99"/>
    <w:semiHidden/>
    <w:unhideWhenUsed/>
    <w:rsid w:val="007F2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D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3082">
      <w:bodyDiv w:val="1"/>
      <w:marLeft w:val="0"/>
      <w:marRight w:val="0"/>
      <w:marTop w:val="0"/>
      <w:marBottom w:val="0"/>
      <w:divBdr>
        <w:top w:val="none" w:sz="0" w:space="0" w:color="auto"/>
        <w:left w:val="none" w:sz="0" w:space="0" w:color="auto"/>
        <w:bottom w:val="none" w:sz="0" w:space="0" w:color="auto"/>
        <w:right w:val="none" w:sz="0" w:space="0" w:color="auto"/>
      </w:divBdr>
      <w:divsChild>
        <w:div w:id="1282952711">
          <w:marLeft w:val="0"/>
          <w:marRight w:val="0"/>
          <w:marTop w:val="0"/>
          <w:marBottom w:val="0"/>
          <w:divBdr>
            <w:top w:val="none" w:sz="0" w:space="0" w:color="auto"/>
            <w:left w:val="none" w:sz="0" w:space="0" w:color="auto"/>
            <w:bottom w:val="none" w:sz="0" w:space="0" w:color="auto"/>
            <w:right w:val="none" w:sz="0" w:space="0" w:color="auto"/>
          </w:divBdr>
          <w:divsChild>
            <w:div w:id="1404062193">
              <w:marLeft w:val="0"/>
              <w:marRight w:val="0"/>
              <w:marTop w:val="0"/>
              <w:marBottom w:val="0"/>
              <w:divBdr>
                <w:top w:val="none" w:sz="0" w:space="0" w:color="auto"/>
                <w:left w:val="none" w:sz="0" w:space="0" w:color="auto"/>
                <w:bottom w:val="none" w:sz="0" w:space="0" w:color="auto"/>
                <w:right w:val="none" w:sz="0" w:space="0" w:color="auto"/>
              </w:divBdr>
              <w:divsChild>
                <w:div w:id="5588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13009">
      <w:bodyDiv w:val="1"/>
      <w:marLeft w:val="0"/>
      <w:marRight w:val="0"/>
      <w:marTop w:val="0"/>
      <w:marBottom w:val="0"/>
      <w:divBdr>
        <w:top w:val="none" w:sz="0" w:space="0" w:color="auto"/>
        <w:left w:val="none" w:sz="0" w:space="0" w:color="auto"/>
        <w:bottom w:val="none" w:sz="0" w:space="0" w:color="auto"/>
        <w:right w:val="none" w:sz="0" w:space="0" w:color="auto"/>
      </w:divBdr>
    </w:div>
    <w:div w:id="1987737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Chicago Hospitals</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Pettit</dc:creator>
  <cp:lastModifiedBy>Pettit, Natasha [UCH]</cp:lastModifiedBy>
  <cp:revision>5</cp:revision>
  <dcterms:created xsi:type="dcterms:W3CDTF">2017-11-30T14:40:00Z</dcterms:created>
  <dcterms:modified xsi:type="dcterms:W3CDTF">2017-11-30T15:00:00Z</dcterms:modified>
</cp:coreProperties>
</file>