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00467F"/>
          <w:sz w:val="30"/>
          <w:szCs w:val="30"/>
        </w:rPr>
        <w:t>Pharmacotherapy Specialist- Infectious Diseases/ASP</w:t>
      </w:r>
    </w:p>
    <w:tbl>
      <w:tblPr>
        <w:tblW w:w="12252" w:type="dxa"/>
        <w:tblCellMar>
          <w:left w:w="0" w:type="dxa"/>
          <w:right w:w="0" w:type="dxa"/>
        </w:tblCellMar>
        <w:tblLook w:val="04A0" w:firstRow="1" w:lastRow="0" w:firstColumn="1" w:lastColumn="0" w:noHBand="0" w:noVBand="1"/>
      </w:tblPr>
      <w:tblGrid>
        <w:gridCol w:w="5124"/>
        <w:gridCol w:w="7128"/>
      </w:tblGrid>
      <w:tr w:rsidR="00590B2E" w:rsidRPr="00590B2E" w:rsidTr="00590B2E">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jc w:val="right"/>
              <w:rPr>
                <w:rFonts w:ascii="Calibri" w:eastAsia="Times New Roman" w:hAnsi="Calibri" w:cs="Calibri"/>
                <w:sz w:val="22"/>
                <w:szCs w:val="22"/>
              </w:rPr>
            </w:pPr>
            <w:r w:rsidRPr="00590B2E">
              <w:rPr>
                <w:rFonts w:ascii="Times New Roman" w:eastAsia="Times New Roman" w:hAnsi="Times New Roman" w:cs="Times New Roman"/>
              </w:rPr>
              <w:t>Position Start Date</w:t>
            </w:r>
          </w:p>
        </w:tc>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rPr>
                <w:rFonts w:ascii="Calibri" w:eastAsia="Times New Roman" w:hAnsi="Calibri" w:cs="Calibri"/>
                <w:sz w:val="22"/>
                <w:szCs w:val="22"/>
              </w:rPr>
            </w:pPr>
            <w:r w:rsidRPr="00590B2E">
              <w:rPr>
                <w:rFonts w:ascii="Times New Roman" w:eastAsia="Times New Roman" w:hAnsi="Times New Roman" w:cs="Times New Roman"/>
              </w:rPr>
              <w:t>06/01/2018</w:t>
            </w:r>
          </w:p>
        </w:tc>
      </w:tr>
      <w:tr w:rsidR="00590B2E" w:rsidRPr="00590B2E" w:rsidTr="00590B2E">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jc w:val="right"/>
              <w:rPr>
                <w:rFonts w:ascii="Calibri" w:eastAsia="Times New Roman" w:hAnsi="Calibri" w:cs="Calibri"/>
                <w:sz w:val="22"/>
                <w:szCs w:val="22"/>
              </w:rPr>
            </w:pPr>
            <w:r w:rsidRPr="00590B2E">
              <w:rPr>
                <w:rFonts w:ascii="Times New Roman" w:eastAsia="Times New Roman" w:hAnsi="Times New Roman" w:cs="Times New Roman"/>
              </w:rPr>
              <w:t>Application Deadline</w:t>
            </w:r>
          </w:p>
        </w:tc>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rPr>
                <w:rFonts w:ascii="Calibri" w:eastAsia="Times New Roman" w:hAnsi="Calibri" w:cs="Calibri"/>
                <w:sz w:val="22"/>
                <w:szCs w:val="22"/>
              </w:rPr>
            </w:pPr>
            <w:r w:rsidRPr="00590B2E">
              <w:rPr>
                <w:rFonts w:ascii="Times New Roman" w:eastAsia="Times New Roman" w:hAnsi="Times New Roman" w:cs="Times New Roman"/>
              </w:rPr>
              <w:t>until filled</w:t>
            </w:r>
          </w:p>
        </w:tc>
      </w:tr>
      <w:tr w:rsidR="00590B2E" w:rsidRPr="00590B2E" w:rsidTr="00590B2E">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jc w:val="right"/>
              <w:rPr>
                <w:rFonts w:ascii="Calibri" w:eastAsia="Times New Roman" w:hAnsi="Calibri" w:cs="Calibri"/>
                <w:sz w:val="22"/>
                <w:szCs w:val="22"/>
              </w:rPr>
            </w:pPr>
            <w:r w:rsidRPr="00590B2E">
              <w:rPr>
                <w:rFonts w:ascii="Times New Roman" w:eastAsia="Times New Roman" w:hAnsi="Times New Roman" w:cs="Times New Roman"/>
              </w:rPr>
              <w:t>Salary</w:t>
            </w:r>
          </w:p>
        </w:tc>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rPr>
                <w:rFonts w:ascii="Calibri" w:eastAsia="Times New Roman" w:hAnsi="Calibri" w:cs="Calibri"/>
                <w:sz w:val="22"/>
                <w:szCs w:val="22"/>
              </w:rPr>
            </w:pPr>
            <w:r w:rsidRPr="00590B2E">
              <w:rPr>
                <w:rFonts w:ascii="Times New Roman" w:eastAsia="Times New Roman" w:hAnsi="Times New Roman" w:cs="Times New Roman"/>
              </w:rPr>
              <w:t>Based on experience</w:t>
            </w:r>
          </w:p>
        </w:tc>
      </w:tr>
      <w:tr w:rsidR="00590B2E" w:rsidRPr="00590B2E" w:rsidTr="00590B2E">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jc w:val="right"/>
              <w:rPr>
                <w:rFonts w:ascii="Calibri" w:eastAsia="Times New Roman" w:hAnsi="Calibri" w:cs="Calibri"/>
                <w:sz w:val="22"/>
                <w:szCs w:val="22"/>
              </w:rPr>
            </w:pPr>
            <w:r w:rsidRPr="00590B2E">
              <w:rPr>
                <w:rFonts w:ascii="Times New Roman" w:eastAsia="Times New Roman" w:hAnsi="Times New Roman" w:cs="Times New Roman"/>
              </w:rPr>
              <w:t>Position Type</w:t>
            </w:r>
          </w:p>
        </w:tc>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rPr>
                <w:rFonts w:ascii="Calibri" w:eastAsia="Times New Roman" w:hAnsi="Calibri" w:cs="Calibri"/>
                <w:sz w:val="22"/>
                <w:szCs w:val="22"/>
              </w:rPr>
            </w:pPr>
            <w:r w:rsidRPr="00590B2E">
              <w:rPr>
                <w:rFonts w:ascii="Times New Roman" w:eastAsia="Times New Roman" w:hAnsi="Times New Roman" w:cs="Times New Roman"/>
              </w:rPr>
              <w:t>Clinical Pharmacy Practitioner</w:t>
            </w:r>
          </w:p>
        </w:tc>
      </w:tr>
      <w:tr w:rsidR="00590B2E" w:rsidRPr="00590B2E" w:rsidTr="00590B2E">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jc w:val="right"/>
              <w:rPr>
                <w:rFonts w:ascii="Calibri" w:eastAsia="Times New Roman" w:hAnsi="Calibri" w:cs="Calibri"/>
                <w:sz w:val="22"/>
                <w:szCs w:val="22"/>
              </w:rPr>
            </w:pPr>
            <w:r w:rsidRPr="00590B2E">
              <w:rPr>
                <w:rFonts w:ascii="Times New Roman" w:eastAsia="Times New Roman" w:hAnsi="Times New Roman" w:cs="Times New Roman"/>
              </w:rPr>
              <w:t>Location</w:t>
            </w:r>
          </w:p>
        </w:tc>
        <w:tc>
          <w:tcPr>
            <w:tcW w:w="0" w:type="auto"/>
            <w:tcBorders>
              <w:top w:val="single" w:sz="8" w:space="0" w:color="DDDDDD"/>
              <w:left w:val="nil"/>
              <w:bottom w:val="nil"/>
              <w:right w:val="nil"/>
            </w:tcBorders>
            <w:tcMar>
              <w:top w:w="120" w:type="dxa"/>
              <w:left w:w="120" w:type="dxa"/>
              <w:bottom w:w="120" w:type="dxa"/>
              <w:right w:w="120" w:type="dxa"/>
            </w:tcMar>
            <w:hideMark/>
          </w:tcPr>
          <w:p w:rsidR="00590B2E" w:rsidRPr="00590B2E" w:rsidRDefault="00590B2E" w:rsidP="00590B2E">
            <w:pPr>
              <w:rPr>
                <w:rFonts w:ascii="Calibri" w:eastAsia="Times New Roman" w:hAnsi="Calibri" w:cs="Calibri"/>
                <w:sz w:val="22"/>
                <w:szCs w:val="22"/>
              </w:rPr>
            </w:pPr>
            <w:r w:rsidRPr="00590B2E">
              <w:rPr>
                <w:rFonts w:ascii="Times New Roman" w:eastAsia="Times New Roman" w:hAnsi="Times New Roman" w:cs="Times New Roman"/>
              </w:rPr>
              <w:t>Brooklyn, NY</w:t>
            </w:r>
          </w:p>
        </w:tc>
      </w:tr>
    </w:tbl>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00467F"/>
          <w:sz w:val="30"/>
          <w:szCs w:val="30"/>
        </w:rPr>
        <w:t>Position Description</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Pharmacotherapy Specialist – ID/ASP</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The Brooklyn Hospital Center, seeks highly qualified pharmacists to participate in direct patient care activities in ID/ASP and to precept residents in our Pharmacy Residency Programs.</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Facility and Department Overview</w:t>
      </w:r>
      <w:r w:rsidRPr="00590B2E">
        <w:rPr>
          <w:rFonts w:ascii="Arial" w:eastAsia="Times New Roman" w:hAnsi="Arial" w:cs="Arial"/>
          <w:color w:val="333333"/>
          <w:sz w:val="21"/>
          <w:szCs w:val="21"/>
        </w:rPr>
        <w:br/>
        <w:t>The Brooklyn Hospital Center, Brooklyn’s oldest hospital, is affiliated with Mount Sinai's Icahn School of Medicine and the Arnold &amp; Marie Schwartz College of Pharmacy/LIU. A prestigious teaching hospital that is dedicated to providing outstanding acute care in a state-of-the-art delivery environment, the hospital is located in Downtown Brooklyn, merely minutes from Manhattan. A major transportation hub makes the hospital easily accessible by car, bus, railroad, and subway. The hospital is fully accredited from The Joint Commission.</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 xml:space="preserve">The Department of Pharmacy Services is a dynamic department with a progressive clinical focus. The </w:t>
      </w:r>
      <w:proofErr w:type="gramStart"/>
      <w:r w:rsidRPr="00590B2E">
        <w:rPr>
          <w:rFonts w:ascii="Arial" w:eastAsia="Times New Roman" w:hAnsi="Arial" w:cs="Arial"/>
          <w:color w:val="333333"/>
          <w:sz w:val="21"/>
          <w:szCs w:val="21"/>
        </w:rPr>
        <w:t>463 bed</w:t>
      </w:r>
      <w:proofErr w:type="gramEnd"/>
      <w:r w:rsidRPr="00590B2E">
        <w:rPr>
          <w:rFonts w:ascii="Arial" w:eastAsia="Times New Roman" w:hAnsi="Arial" w:cs="Arial"/>
          <w:color w:val="333333"/>
          <w:sz w:val="21"/>
          <w:szCs w:val="21"/>
        </w:rPr>
        <w:t xml:space="preserve"> facility is staffed by sixteen pharmacists, eleven pharmacy residents, six interns, six pharmacotherapy specialists, five clinical pharmacy educators, technicians, messengers, and a dedicated management team, the department participates in all aspects of medication safety and dispensing using state of the art electronic medical records, CPOE, and other clinical software. Dispensing services are achieved with a balance of professional, technical, and automated services, including a complete intravenous admixture service, TPN compounder, and robotics. </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 xml:space="preserve">The department maintains around-the-clock drug information and consultative services, including: pharmacokinetic dosing, ambulatory care clinics, nutritional support service, IV to PO substitution, automatic therapeutic substitution under protocol, antimicrobial stewardship program, and response to all cardiac arrest and rapid response calls. We are affiliated with neighboring Long Island University’s Arnold &amp; Marie Schwartz College of Pharmacy and Health Sciences. Our accredited Pharmacy Residency Program includes five PGY-1 residents, a PGY-2 resident in Infectious Diseases, and three PGY-2 residents in Ambulatory Care, and two PGY-2 </w:t>
      </w:r>
      <w:proofErr w:type="gramStart"/>
      <w:r w:rsidRPr="00590B2E">
        <w:rPr>
          <w:rFonts w:ascii="Arial" w:eastAsia="Times New Roman" w:hAnsi="Arial" w:cs="Arial"/>
          <w:color w:val="333333"/>
          <w:sz w:val="21"/>
          <w:szCs w:val="21"/>
        </w:rPr>
        <w:t>residency</w:t>
      </w:r>
      <w:proofErr w:type="gramEnd"/>
      <w:r w:rsidRPr="00590B2E">
        <w:rPr>
          <w:rFonts w:ascii="Arial" w:eastAsia="Times New Roman" w:hAnsi="Arial" w:cs="Arial"/>
          <w:color w:val="333333"/>
          <w:sz w:val="21"/>
          <w:szCs w:val="21"/>
        </w:rPr>
        <w:t xml:space="preserve"> in Emergency Medicine. The overall mission of these programs is to afford residents the opportunity to gain experience and knowledge in a pharmacotherapy model that functions as a think tank and proving ground for new programs and services. This model promotes the concept of collaborative drug therapy management in a direct patient care setting within the hospital and outpatient clinics; a model that has been recognized throughout New York State and by national surveyors and as being “ahead of the curve”.</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Position Overview</w:t>
      </w:r>
      <w:r w:rsidRPr="00590B2E">
        <w:rPr>
          <w:rFonts w:ascii="Arial" w:eastAsia="Times New Roman" w:hAnsi="Arial" w:cs="Arial"/>
          <w:color w:val="333333"/>
          <w:sz w:val="21"/>
          <w:szCs w:val="21"/>
        </w:rPr>
        <w:br/>
        <w:t>This Pharmacotherapy Specialist position offers an excellent opportunity to directly impact patient care and medication safety. </w:t>
      </w:r>
      <w:r w:rsidRPr="00590B2E">
        <w:rPr>
          <w:rFonts w:ascii="Arial" w:eastAsia="Times New Roman" w:hAnsi="Arial" w:cs="Arial"/>
          <w:color w:val="333333"/>
          <w:sz w:val="21"/>
          <w:szCs w:val="21"/>
        </w:rPr>
        <w:br/>
        <w:t xml:space="preserve">• Actively participate on patient care rounds with our physicians in a collaborative practice model. As </w:t>
      </w:r>
      <w:r w:rsidRPr="00590B2E">
        <w:rPr>
          <w:rFonts w:ascii="Arial" w:eastAsia="Times New Roman" w:hAnsi="Arial" w:cs="Arial"/>
          <w:color w:val="333333"/>
          <w:sz w:val="21"/>
          <w:szCs w:val="21"/>
        </w:rPr>
        <w:lastRenderedPageBreak/>
        <w:t>an integral member of the Infectious Diseases and ASP teams, the Pharmacotherapy Specialist provides relied upon comprehensive pharmacotherapy services at the top of his/her license. </w:t>
      </w:r>
      <w:r w:rsidRPr="00590B2E">
        <w:rPr>
          <w:rFonts w:ascii="Arial" w:eastAsia="Times New Roman" w:hAnsi="Arial" w:cs="Arial"/>
          <w:color w:val="333333"/>
          <w:sz w:val="21"/>
          <w:szCs w:val="21"/>
        </w:rPr>
        <w:br/>
        <w:t>• Provide support for the training of residents in our accredited PGY-1 and PGY-2 residency programs. </w:t>
      </w:r>
      <w:r w:rsidRPr="00590B2E">
        <w:rPr>
          <w:rFonts w:ascii="Arial" w:eastAsia="Times New Roman" w:hAnsi="Arial" w:cs="Arial"/>
          <w:color w:val="333333"/>
          <w:sz w:val="21"/>
          <w:szCs w:val="21"/>
        </w:rPr>
        <w:br/>
        <w:t>• Provide support for the training of medical residents and students.</w:t>
      </w:r>
      <w:r w:rsidRPr="00590B2E">
        <w:rPr>
          <w:rFonts w:ascii="Arial" w:eastAsia="Times New Roman" w:hAnsi="Arial" w:cs="Arial"/>
          <w:color w:val="333333"/>
          <w:sz w:val="21"/>
          <w:szCs w:val="21"/>
        </w:rPr>
        <w:br/>
        <w:t>• Offer continuous quality improvement through the creation and revision of order sets, protocols and policies. </w:t>
      </w:r>
      <w:r w:rsidRPr="00590B2E">
        <w:rPr>
          <w:rFonts w:ascii="Arial" w:eastAsia="Times New Roman" w:hAnsi="Arial" w:cs="Arial"/>
          <w:color w:val="333333"/>
          <w:sz w:val="21"/>
          <w:szCs w:val="21"/>
        </w:rPr>
        <w:br/>
        <w:t>• Collaboration on various multidisciplinary and corporate committees. </w:t>
      </w:r>
      <w:r w:rsidRPr="00590B2E">
        <w:rPr>
          <w:rFonts w:ascii="Arial" w:eastAsia="Times New Roman" w:hAnsi="Arial" w:cs="Arial"/>
          <w:color w:val="333333"/>
          <w:sz w:val="21"/>
          <w:szCs w:val="21"/>
        </w:rPr>
        <w:br/>
        <w:t>• Participate in the training of pharmacy students. </w:t>
      </w:r>
      <w:r w:rsidRPr="00590B2E">
        <w:rPr>
          <w:rFonts w:ascii="Arial" w:eastAsia="Times New Roman" w:hAnsi="Arial" w:cs="Arial"/>
          <w:color w:val="333333"/>
          <w:sz w:val="21"/>
          <w:szCs w:val="21"/>
        </w:rPr>
        <w:br/>
        <w:t>• Participate in multi-disciplinary clinical translational research projects.</w:t>
      </w:r>
      <w:r w:rsidRPr="00590B2E">
        <w:rPr>
          <w:rFonts w:ascii="Arial" w:eastAsia="Times New Roman" w:hAnsi="Arial" w:cs="Arial"/>
          <w:color w:val="333333"/>
          <w:sz w:val="21"/>
          <w:szCs w:val="21"/>
        </w:rPr>
        <w:br/>
        <w:t xml:space="preserve">• Serve as a mentor for our decentralized </w:t>
      </w:r>
      <w:proofErr w:type="spellStart"/>
      <w:r w:rsidRPr="00590B2E">
        <w:rPr>
          <w:rFonts w:ascii="Arial" w:eastAsia="Times New Roman" w:hAnsi="Arial" w:cs="Arial"/>
          <w:color w:val="333333"/>
          <w:sz w:val="21"/>
          <w:szCs w:val="21"/>
        </w:rPr>
        <w:t>pharmacotherapists</w:t>
      </w:r>
      <w:proofErr w:type="spellEnd"/>
      <w:r w:rsidRPr="00590B2E">
        <w:rPr>
          <w:rFonts w:ascii="Arial" w:eastAsia="Times New Roman" w:hAnsi="Arial" w:cs="Arial"/>
          <w:color w:val="333333"/>
          <w:sz w:val="21"/>
          <w:szCs w:val="21"/>
        </w:rPr>
        <w:t xml:space="preserve"> and pharmacy staff.</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Desired/Required Credentials </w:t>
      </w:r>
      <w:r w:rsidRPr="00590B2E">
        <w:rPr>
          <w:rFonts w:ascii="Arial" w:eastAsia="Times New Roman" w:hAnsi="Arial" w:cs="Arial"/>
          <w:color w:val="333333"/>
          <w:sz w:val="21"/>
          <w:szCs w:val="21"/>
        </w:rPr>
        <w:br/>
        <w:t>Doctor of Pharmacy degree from an ACPE accredited program, PGY-1 residency and PGY-2 residency from an ASHP accredited program and/or fellowship experience; BCPS with AQ-ID or BCPID; minimum of three years of experience with a proven record of scholarship and service in order to meet ASHP PGY2 RPD standards is preferred. New York State pharmacy licensure/license eligibility required.</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We provide a competitive salary, commensurate with experience, and a comprehensive benefits package including medical, dental, vision, and more.</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For consideration, interested candidates should contact Robert DiGregorio, PharmD, Sr. Director of Pharmacotherapy Services at (718) 250-8182 or via email address </w:t>
      </w:r>
      <w:hyperlink r:id="rId4" w:history="1">
        <w:r w:rsidRPr="00590B2E">
          <w:rPr>
            <w:rFonts w:ascii="Arial" w:eastAsia="Times New Roman" w:hAnsi="Arial" w:cs="Arial"/>
            <w:color w:val="800080"/>
            <w:sz w:val="21"/>
            <w:szCs w:val="21"/>
            <w:u w:val="single"/>
          </w:rPr>
          <w:t>rdigregorio@tbh.org</w:t>
        </w:r>
      </w:hyperlink>
      <w:r w:rsidRPr="00590B2E">
        <w:rPr>
          <w:rFonts w:ascii="Arial" w:eastAsia="Times New Roman" w:hAnsi="Arial" w:cs="Arial"/>
          <w:color w:val="333333"/>
          <w:sz w:val="21"/>
          <w:szCs w:val="21"/>
        </w:rPr>
        <w:t>. Visit our hospital’s website: </w:t>
      </w:r>
      <w:hyperlink r:id="rId5" w:history="1">
        <w:r w:rsidRPr="00590B2E">
          <w:rPr>
            <w:rFonts w:ascii="Arial" w:eastAsia="Times New Roman" w:hAnsi="Arial" w:cs="Arial"/>
            <w:color w:val="800080"/>
            <w:sz w:val="21"/>
            <w:szCs w:val="21"/>
            <w:u w:val="single"/>
          </w:rPr>
          <w:t>www.tbh.org</w:t>
        </w:r>
      </w:hyperlink>
      <w:r w:rsidRPr="00590B2E">
        <w:rPr>
          <w:rFonts w:ascii="Arial" w:eastAsia="Times New Roman" w:hAnsi="Arial" w:cs="Arial"/>
          <w:color w:val="333333"/>
          <w:sz w:val="21"/>
          <w:szCs w:val="21"/>
        </w:rPr>
        <w:t> and </w:t>
      </w:r>
      <w:hyperlink r:id="rId6" w:history="1">
        <w:r w:rsidRPr="00590B2E">
          <w:rPr>
            <w:rFonts w:ascii="Arial" w:eastAsia="Times New Roman" w:hAnsi="Arial" w:cs="Arial"/>
            <w:color w:val="800080"/>
            <w:sz w:val="21"/>
            <w:szCs w:val="21"/>
            <w:u w:val="single"/>
          </w:rPr>
          <w:t>www.brooklynpharmacyresidency.com</w:t>
        </w:r>
      </w:hyperlink>
      <w:r w:rsidRPr="00590B2E">
        <w:rPr>
          <w:rFonts w:ascii="Arial" w:eastAsia="Times New Roman" w:hAnsi="Arial" w:cs="Arial"/>
          <w:color w:val="333333"/>
          <w:sz w:val="21"/>
          <w:szCs w:val="21"/>
        </w:rPr>
        <w:t>for more information. </w:t>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r>
      <w:r w:rsidRPr="00590B2E">
        <w:rPr>
          <w:rFonts w:ascii="Arial" w:eastAsia="Times New Roman" w:hAnsi="Arial" w:cs="Arial"/>
          <w:color w:val="333333"/>
          <w:sz w:val="21"/>
          <w:szCs w:val="21"/>
        </w:rPr>
        <w:br/>
        <w:t>EOE M/F</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00467F"/>
          <w:sz w:val="30"/>
          <w:szCs w:val="30"/>
        </w:rPr>
        <w:t>Contact Information</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 </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Robert DiGregorio, PharmD</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The Brooklyn Hospital Center</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Pharmacotherapy Services</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121 DeKalb Ave</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B231</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Brooklyn, NY 11201</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Telephone: 718-250-8182</w:t>
      </w:r>
    </w:p>
    <w:p w:rsidR="00590B2E" w:rsidRPr="00590B2E" w:rsidRDefault="00590B2E" w:rsidP="00590B2E">
      <w:pPr>
        <w:shd w:val="clear" w:color="auto" w:fill="FFFFFF"/>
        <w:rPr>
          <w:rFonts w:ascii="Calibri" w:eastAsia="Times New Roman" w:hAnsi="Calibri" w:cs="Calibri"/>
          <w:color w:val="000000"/>
          <w:sz w:val="22"/>
          <w:szCs w:val="22"/>
        </w:rPr>
      </w:pPr>
      <w:r w:rsidRPr="00590B2E">
        <w:rPr>
          <w:rFonts w:ascii="Arial" w:eastAsia="Times New Roman" w:hAnsi="Arial" w:cs="Arial"/>
          <w:color w:val="333333"/>
          <w:sz w:val="21"/>
          <w:szCs w:val="21"/>
        </w:rPr>
        <w:t>Fax: 718-250-6480</w:t>
      </w:r>
    </w:p>
    <w:p w:rsidR="00590B2E" w:rsidRPr="00590B2E" w:rsidRDefault="00590B2E" w:rsidP="00590B2E">
      <w:pPr>
        <w:shd w:val="clear" w:color="auto" w:fill="FFFFFF"/>
        <w:rPr>
          <w:rFonts w:ascii="Calibri" w:eastAsia="Times New Roman" w:hAnsi="Calibri" w:cs="Calibri"/>
          <w:color w:val="000000"/>
          <w:sz w:val="22"/>
          <w:szCs w:val="22"/>
        </w:rPr>
      </w:pPr>
      <w:hyperlink r:id="rId7" w:history="1">
        <w:r w:rsidRPr="00590B2E">
          <w:rPr>
            <w:rFonts w:ascii="Arial" w:eastAsia="Times New Roman" w:hAnsi="Arial" w:cs="Arial"/>
            <w:color w:val="00467F"/>
            <w:sz w:val="21"/>
            <w:szCs w:val="21"/>
            <w:u w:val="single"/>
          </w:rPr>
          <w:t>rdigregorio@tbh.org</w:t>
        </w:r>
      </w:hyperlink>
    </w:p>
    <w:p w:rsidR="00590B2E" w:rsidRPr="00590B2E" w:rsidRDefault="00590B2E" w:rsidP="00590B2E">
      <w:pPr>
        <w:shd w:val="clear" w:color="auto" w:fill="FFFFFF"/>
        <w:rPr>
          <w:rFonts w:ascii="Calibri" w:eastAsia="Times New Roman" w:hAnsi="Calibri" w:cs="Calibri"/>
          <w:color w:val="000000"/>
          <w:sz w:val="22"/>
          <w:szCs w:val="22"/>
        </w:rPr>
      </w:pPr>
      <w:hyperlink r:id="rId8" w:tgtFrame="_blank" w:history="1">
        <w:r w:rsidRPr="00590B2E">
          <w:rPr>
            <w:rFonts w:ascii="Arial" w:eastAsia="Times New Roman" w:hAnsi="Arial" w:cs="Arial"/>
            <w:color w:val="00467F"/>
            <w:sz w:val="21"/>
            <w:szCs w:val="21"/>
            <w:u w:val="single"/>
          </w:rPr>
          <w:t>www.brooklynpharmacyresidency.com</w:t>
        </w:r>
      </w:hyperlink>
    </w:p>
    <w:p w:rsidR="00E84792" w:rsidRPr="00590B2E" w:rsidRDefault="003913FE" w:rsidP="00590B2E">
      <w:bookmarkStart w:id="0" w:name="_GoBack"/>
      <w:bookmarkEnd w:id="0"/>
    </w:p>
    <w:sectPr w:rsidR="00E84792" w:rsidRPr="00590B2E" w:rsidSect="0036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F"/>
    <w:rsid w:val="003669FF"/>
    <w:rsid w:val="003913FE"/>
    <w:rsid w:val="00590B2E"/>
    <w:rsid w:val="00F8319A"/>
    <w:rsid w:val="00FA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73846"/>
  <w15:chartTrackingRefBased/>
  <w15:docId w15:val="{DDDD5643-D296-564A-A7CA-E27FF1F9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0B2E"/>
  </w:style>
  <w:style w:type="character" w:styleId="Hyperlink">
    <w:name w:val="Hyperlink"/>
    <w:basedOn w:val="DefaultParagraphFont"/>
    <w:uiPriority w:val="99"/>
    <w:semiHidden/>
    <w:unhideWhenUsed/>
    <w:rsid w:val="00590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p.com/careers/www.brooklynpharmacyresidency.com" TargetMode="External"/><Relationship Id="rId3" Type="http://schemas.openxmlformats.org/officeDocument/2006/relationships/webSettings" Target="webSettings.xml"/><Relationship Id="rId7" Type="http://schemas.openxmlformats.org/officeDocument/2006/relationships/hyperlink" Target="mailto:rdigregorio@tb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oklynpharmacyresidency.com" TargetMode="External"/><Relationship Id="rId5" Type="http://schemas.openxmlformats.org/officeDocument/2006/relationships/hyperlink" Target="http://www.tbh.org" TargetMode="External"/><Relationship Id="rId10" Type="http://schemas.openxmlformats.org/officeDocument/2006/relationships/theme" Target="theme/theme1.xml"/><Relationship Id="rId4" Type="http://schemas.openxmlformats.org/officeDocument/2006/relationships/hyperlink" Target="mailto:rdigregorio@tbh.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Oceguera</dc:creator>
  <cp:keywords/>
  <dc:description/>
  <cp:lastModifiedBy>Stephany Oceguera</cp:lastModifiedBy>
  <cp:revision>1</cp:revision>
  <dcterms:created xsi:type="dcterms:W3CDTF">2018-05-09T14:37:00Z</dcterms:created>
  <dcterms:modified xsi:type="dcterms:W3CDTF">2018-05-09T17:06:00Z</dcterms:modified>
</cp:coreProperties>
</file>